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AB1" w:rsidRPr="00831A47" w:rsidRDefault="00482AB1" w:rsidP="002F2636">
      <w:pPr>
        <w:tabs>
          <w:tab w:val="left" w:pos="6463"/>
          <w:tab w:val="right" w:pos="8306"/>
        </w:tabs>
        <w:spacing w:after="0" w:line="240" w:lineRule="auto"/>
        <w:ind w:firstLine="7030"/>
        <w:rPr>
          <w:rFonts w:cs="David"/>
          <w:b/>
          <w:bCs/>
          <w:sz w:val="26"/>
          <w:szCs w:val="26"/>
          <w:rtl/>
        </w:rPr>
      </w:pPr>
      <w:r w:rsidRPr="00831A47">
        <w:rPr>
          <w:rFonts w:cs="David" w:hint="cs"/>
          <w:b/>
          <w:bCs/>
          <w:sz w:val="26"/>
          <w:szCs w:val="26"/>
          <w:rtl/>
        </w:rPr>
        <w:t xml:space="preserve"> </w:t>
      </w:r>
      <w:r w:rsidR="002F2636">
        <w:rPr>
          <w:rFonts w:cs="David" w:hint="cs"/>
          <w:b/>
          <w:bCs/>
          <w:sz w:val="26"/>
          <w:szCs w:val="26"/>
          <w:rtl/>
        </w:rPr>
        <w:t>20</w:t>
      </w:r>
      <w:r w:rsidRPr="00831A47">
        <w:rPr>
          <w:rFonts w:cs="David" w:hint="cs"/>
          <w:b/>
          <w:bCs/>
          <w:sz w:val="26"/>
          <w:szCs w:val="26"/>
          <w:rtl/>
        </w:rPr>
        <w:t>.</w:t>
      </w:r>
      <w:r w:rsidR="007D5C29">
        <w:rPr>
          <w:rFonts w:cs="David" w:hint="cs"/>
          <w:b/>
          <w:bCs/>
          <w:sz w:val="26"/>
          <w:szCs w:val="26"/>
          <w:rtl/>
        </w:rPr>
        <w:t>0</w:t>
      </w:r>
      <w:r w:rsidR="002F2636">
        <w:rPr>
          <w:rFonts w:cs="David" w:hint="cs"/>
          <w:b/>
          <w:bCs/>
          <w:sz w:val="26"/>
          <w:szCs w:val="26"/>
          <w:rtl/>
        </w:rPr>
        <w:t>3</w:t>
      </w:r>
      <w:r w:rsidRPr="00831A47">
        <w:rPr>
          <w:rFonts w:cs="David" w:hint="cs"/>
          <w:b/>
          <w:bCs/>
          <w:sz w:val="26"/>
          <w:szCs w:val="26"/>
          <w:rtl/>
        </w:rPr>
        <w:t>.20</w:t>
      </w:r>
      <w:r w:rsidR="007D5C29">
        <w:rPr>
          <w:rFonts w:cs="David" w:hint="cs"/>
          <w:b/>
          <w:bCs/>
          <w:sz w:val="26"/>
          <w:szCs w:val="26"/>
          <w:rtl/>
        </w:rPr>
        <w:t>22</w:t>
      </w:r>
    </w:p>
    <w:p w:rsidR="00482AB1" w:rsidRPr="00831A47" w:rsidRDefault="00482AB1" w:rsidP="00482AB1">
      <w:pPr>
        <w:rPr>
          <w:rFonts w:ascii="Tahoma" w:hAnsi="Tahoma" w:cs="David"/>
          <w:b/>
          <w:bCs/>
          <w:sz w:val="26"/>
          <w:szCs w:val="26"/>
          <w:u w:val="single"/>
          <w:rtl/>
        </w:rPr>
      </w:pPr>
    </w:p>
    <w:p w:rsidR="00482AB1" w:rsidRPr="00831A47" w:rsidRDefault="00482AB1" w:rsidP="00482AB1">
      <w:pPr>
        <w:tabs>
          <w:tab w:val="left" w:pos="6463"/>
          <w:tab w:val="right" w:pos="8306"/>
        </w:tabs>
        <w:spacing w:after="0" w:line="240" w:lineRule="auto"/>
        <w:jc w:val="both"/>
        <w:rPr>
          <w:rFonts w:cs="David"/>
          <w:b/>
          <w:bCs/>
          <w:sz w:val="26"/>
          <w:szCs w:val="26"/>
          <w:rtl/>
        </w:rPr>
      </w:pPr>
      <w:r w:rsidRPr="00831A47">
        <w:rPr>
          <w:rFonts w:cs="David"/>
          <w:sz w:val="26"/>
          <w:szCs w:val="26"/>
          <w:rtl/>
        </w:rPr>
        <w:tab/>
      </w:r>
      <w:r w:rsidRPr="00831A47">
        <w:rPr>
          <w:rFonts w:cs="David" w:hint="cs"/>
          <w:sz w:val="26"/>
          <w:szCs w:val="26"/>
          <w:rtl/>
        </w:rPr>
        <w:t xml:space="preserve"> </w:t>
      </w:r>
    </w:p>
    <w:p w:rsidR="00482AB1" w:rsidRPr="00831A47" w:rsidRDefault="00482AB1" w:rsidP="00482AB1">
      <w:pPr>
        <w:jc w:val="right"/>
        <w:rPr>
          <w:rFonts w:cs="David"/>
          <w:sz w:val="26"/>
          <w:szCs w:val="26"/>
        </w:rPr>
      </w:pPr>
    </w:p>
    <w:p w:rsidR="00482AB1" w:rsidRPr="00C14FC1" w:rsidRDefault="007D5C29" w:rsidP="007D5C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39"/>
        </w:tabs>
        <w:jc w:val="center"/>
        <w:rPr>
          <w:rFonts w:cs="David"/>
          <w:b/>
          <w:bCs/>
          <w:sz w:val="32"/>
          <w:szCs w:val="32"/>
          <w:rtl/>
        </w:rPr>
      </w:pPr>
      <w:bookmarkStart w:id="0" w:name="CC"/>
      <w:bookmarkEnd w:id="0"/>
      <w:r w:rsidRPr="00C14FC1">
        <w:rPr>
          <w:rFonts w:cs="David" w:hint="cs"/>
          <w:b/>
          <w:bCs/>
          <w:sz w:val="32"/>
          <w:szCs w:val="32"/>
          <w:rtl/>
        </w:rPr>
        <w:t>הודעה לציבור</w:t>
      </w:r>
    </w:p>
    <w:p w:rsidR="00482AB1" w:rsidRPr="00831A47" w:rsidRDefault="00482AB1" w:rsidP="00482AB1">
      <w:pPr>
        <w:spacing w:after="0"/>
        <w:ind w:left="1919" w:hanging="1890"/>
        <w:jc w:val="center"/>
        <w:rPr>
          <w:rFonts w:cs="David"/>
          <w:b/>
          <w:bCs/>
          <w:sz w:val="26"/>
          <w:szCs w:val="26"/>
          <w:rtl/>
        </w:rPr>
      </w:pPr>
    </w:p>
    <w:p w:rsidR="00482AB1" w:rsidRPr="00C14FC1" w:rsidRDefault="00234803" w:rsidP="007D7B92">
      <w:pPr>
        <w:spacing w:after="0" w:line="240" w:lineRule="auto"/>
        <w:jc w:val="center"/>
        <w:rPr>
          <w:rFonts w:cs="David"/>
          <w:b/>
          <w:bCs/>
          <w:sz w:val="28"/>
          <w:szCs w:val="28"/>
          <w:rtl/>
        </w:rPr>
      </w:pPr>
      <w:sdt>
        <w:sdtPr>
          <w:rPr>
            <w:rFonts w:ascii="Tahoma" w:hAnsi="Tahoma" w:cs="David"/>
            <w:b/>
            <w:bCs/>
            <w:sz w:val="28"/>
            <w:szCs w:val="28"/>
            <w:u w:val="single"/>
            <w:rtl/>
          </w:rPr>
          <w:alias w:val="Title"/>
          <w:tag w:val=""/>
          <w:id w:val="1815375097"/>
          <w:placeholder>
            <w:docPart w:val="A4D4D326F49A43CDAC6106040D4AB3B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D5C29" w:rsidRPr="00C14FC1">
            <w:rPr>
              <w:rFonts w:ascii="Tahoma" w:hAnsi="Tahoma" w:cs="David" w:hint="cs"/>
              <w:b/>
              <w:bCs/>
              <w:sz w:val="28"/>
              <w:szCs w:val="28"/>
              <w:u w:val="single"/>
              <w:rtl/>
            </w:rPr>
            <w:t>הודעה לציבור עדכון בדבר הארכת מועדי הקמה של מתקני ייצור חשמל באמצעות אנרגיה מתחדשת באיו"ש, בשל גל האומ</w:t>
          </w:r>
          <w:r w:rsidR="007D7B92">
            <w:rPr>
              <w:rFonts w:ascii="Tahoma" w:hAnsi="Tahoma" w:cs="David" w:hint="cs"/>
              <w:b/>
              <w:bCs/>
              <w:sz w:val="28"/>
              <w:szCs w:val="28"/>
              <w:u w:val="single"/>
              <w:rtl/>
            </w:rPr>
            <w:t>יקר</w:t>
          </w:r>
          <w:r w:rsidR="007D5C29" w:rsidRPr="00C14FC1">
            <w:rPr>
              <w:rFonts w:ascii="Tahoma" w:hAnsi="Tahoma" w:cs="David" w:hint="cs"/>
              <w:b/>
              <w:bCs/>
              <w:sz w:val="28"/>
              <w:szCs w:val="28"/>
              <w:u w:val="single"/>
              <w:rtl/>
            </w:rPr>
            <w:t>ון</w:t>
          </w:r>
        </w:sdtContent>
      </w:sdt>
      <w:r w:rsidR="00482AB1" w:rsidRPr="00C14FC1">
        <w:rPr>
          <w:rFonts w:cs="David" w:hint="cs"/>
          <w:b/>
          <w:bCs/>
          <w:sz w:val="28"/>
          <w:szCs w:val="28"/>
          <w:rtl/>
        </w:rPr>
        <w:t xml:space="preserve">      </w:t>
      </w:r>
    </w:p>
    <w:p w:rsidR="00482AB1" w:rsidRPr="00831A47" w:rsidRDefault="00482AB1" w:rsidP="00482AB1">
      <w:pPr>
        <w:spacing w:after="0"/>
        <w:jc w:val="center"/>
        <w:rPr>
          <w:rFonts w:cs="David"/>
          <w:sz w:val="26"/>
          <w:szCs w:val="26"/>
          <w:rtl/>
        </w:rPr>
      </w:pPr>
      <w:r w:rsidRPr="00831A47">
        <w:rPr>
          <w:rFonts w:cs="David" w:hint="cs"/>
          <w:sz w:val="26"/>
          <w:szCs w:val="26"/>
          <w:rtl/>
        </w:rPr>
        <w:t xml:space="preserve">                                                                                    </w:t>
      </w:r>
    </w:p>
    <w:p w:rsidR="00482AB1" w:rsidRDefault="00482AB1" w:rsidP="00482AB1">
      <w:pPr>
        <w:rPr>
          <w:rFonts w:cs="David"/>
          <w:sz w:val="26"/>
          <w:szCs w:val="26"/>
          <w:rtl/>
        </w:rPr>
      </w:pPr>
    </w:p>
    <w:p w:rsidR="007D5C29" w:rsidRPr="00C14FC1" w:rsidRDefault="007D5C29" w:rsidP="00C14FC1">
      <w:pPr>
        <w:jc w:val="both"/>
        <w:rPr>
          <w:rFonts w:ascii="David" w:eastAsia="Times New Roman" w:hAnsi="David" w:cs="David"/>
          <w:b/>
          <w:bCs/>
          <w:color w:val="000000"/>
          <w:sz w:val="26"/>
          <w:szCs w:val="26"/>
        </w:rPr>
      </w:pPr>
      <w:r w:rsidRPr="00C14FC1">
        <w:rPr>
          <w:rFonts w:ascii="David" w:eastAsia="Times New Roman" w:hAnsi="David" w:cs="David" w:hint="cs"/>
          <w:b/>
          <w:bCs/>
          <w:color w:val="000000"/>
          <w:sz w:val="26"/>
          <w:szCs w:val="26"/>
          <w:rtl/>
        </w:rPr>
        <w:t>תיאור ההחלטה:</w:t>
      </w:r>
    </w:p>
    <w:p w:rsidR="007D5C29" w:rsidRPr="00C14FC1" w:rsidRDefault="007D5C29" w:rsidP="007D5C29">
      <w:pPr>
        <w:pStyle w:val="a8"/>
        <w:ind w:left="33"/>
        <w:jc w:val="both"/>
        <w:rPr>
          <w:rFonts w:ascii="David" w:eastAsia="Times New Roman" w:hAnsi="David" w:cs="David"/>
          <w:color w:val="000000"/>
          <w:sz w:val="26"/>
          <w:szCs w:val="26"/>
          <w:rtl/>
        </w:rPr>
      </w:pPr>
    </w:p>
    <w:p w:rsidR="007D5C29" w:rsidRPr="00C14FC1" w:rsidRDefault="007D5C29" w:rsidP="00026E3B">
      <w:pPr>
        <w:pStyle w:val="a8"/>
        <w:spacing w:after="240" w:line="360" w:lineRule="auto"/>
        <w:ind w:left="34"/>
        <w:contextualSpacing w:val="0"/>
        <w:jc w:val="both"/>
        <w:rPr>
          <w:rFonts w:ascii="David" w:eastAsia="Times New Roman" w:hAnsi="David" w:cs="David"/>
          <w:color w:val="000000"/>
          <w:sz w:val="26"/>
          <w:szCs w:val="26"/>
          <w:rtl/>
        </w:rPr>
      </w:pPr>
      <w:r w:rsidRPr="00C14FC1">
        <w:rPr>
          <w:rFonts w:ascii="David" w:eastAsia="Times New Roman" w:hAnsi="David" w:cs="David"/>
          <w:color w:val="000000"/>
          <w:sz w:val="26"/>
          <w:szCs w:val="26"/>
          <w:rtl/>
        </w:rPr>
        <w:t xml:space="preserve">ניתנת בזה הודעה כי </w:t>
      </w:r>
      <w:r w:rsidR="00A84615">
        <w:rPr>
          <w:rFonts w:ascii="David" w:eastAsia="Times New Roman" w:hAnsi="David" w:cs="David" w:hint="cs"/>
          <w:color w:val="000000"/>
          <w:sz w:val="26"/>
          <w:szCs w:val="26"/>
          <w:rtl/>
        </w:rPr>
        <w:t xml:space="preserve">בתיאום </w:t>
      </w:r>
      <w:r w:rsidRPr="00C14FC1">
        <w:rPr>
          <w:rFonts w:ascii="David" w:eastAsia="Times New Roman" w:hAnsi="David" w:cs="David" w:hint="cs"/>
          <w:color w:val="000000"/>
          <w:sz w:val="26"/>
          <w:szCs w:val="26"/>
          <w:rtl/>
        </w:rPr>
        <w:t>עם מדיניות רשות החשמל ובכלל זה החלטת רשות החשמל</w:t>
      </w:r>
      <w:r w:rsidR="00A84615" w:rsidRPr="00A84615">
        <w:rPr>
          <w:rFonts w:ascii="David" w:eastAsia="Times New Roman" w:hAnsi="David" w:cs="David" w:hint="cs"/>
          <w:color w:val="000000"/>
          <w:sz w:val="26"/>
          <w:szCs w:val="26"/>
          <w:rtl/>
        </w:rPr>
        <w:t xml:space="preserve"> מס' 62804</w:t>
      </w:r>
      <w:r w:rsidRPr="00C14FC1">
        <w:rPr>
          <w:rFonts w:ascii="David" w:eastAsia="Times New Roman" w:hAnsi="David" w:cs="David" w:hint="cs"/>
          <w:color w:val="000000"/>
          <w:sz w:val="26"/>
          <w:szCs w:val="26"/>
          <w:rtl/>
        </w:rPr>
        <w:t xml:space="preserve"> מישיבה מס' 625 מיום 14.03.2022</w:t>
      </w:r>
      <w:r w:rsidR="00A84615">
        <w:rPr>
          <w:rFonts w:ascii="David" w:eastAsia="Times New Roman" w:hAnsi="David" w:cs="David" w:hint="cs"/>
          <w:color w:val="000000"/>
          <w:sz w:val="26"/>
          <w:szCs w:val="26"/>
          <w:rtl/>
        </w:rPr>
        <w:t>,</w:t>
      </w:r>
      <w:r w:rsidRPr="00C14FC1">
        <w:rPr>
          <w:rFonts w:ascii="David" w:eastAsia="Times New Roman" w:hAnsi="David" w:cs="David" w:hint="cs"/>
          <w:color w:val="000000"/>
          <w:sz w:val="26"/>
          <w:szCs w:val="26"/>
          <w:rtl/>
        </w:rPr>
        <w:t xml:space="preserve"> שעניינה "הארכת המועדים בהליכים תחרותיים ובאסדרות לייצור חשמ</w:t>
      </w:r>
      <w:bookmarkStart w:id="1" w:name="_GoBack"/>
      <w:bookmarkEnd w:id="1"/>
      <w:r w:rsidRPr="00C14FC1">
        <w:rPr>
          <w:rFonts w:ascii="David" w:eastAsia="Times New Roman" w:hAnsi="David" w:cs="David" w:hint="cs"/>
          <w:color w:val="000000"/>
          <w:sz w:val="26"/>
          <w:szCs w:val="26"/>
          <w:rtl/>
        </w:rPr>
        <w:t>ל באנרגיה מתחדשת"</w:t>
      </w:r>
      <w:r w:rsidR="00A84615">
        <w:rPr>
          <w:rFonts w:ascii="David" w:eastAsia="Times New Roman" w:hAnsi="David" w:cs="David" w:hint="cs"/>
          <w:color w:val="000000"/>
          <w:sz w:val="26"/>
          <w:szCs w:val="26"/>
          <w:rtl/>
        </w:rPr>
        <w:t>,</w:t>
      </w:r>
      <w:r w:rsidRPr="00C14FC1">
        <w:rPr>
          <w:rFonts w:ascii="David" w:eastAsia="Times New Roman" w:hAnsi="David" w:cs="David" w:hint="cs"/>
          <w:color w:val="000000"/>
          <w:sz w:val="26"/>
          <w:szCs w:val="26"/>
          <w:rtl/>
        </w:rPr>
        <w:t xml:space="preserve"> החל</w:t>
      </w:r>
      <w:r w:rsidR="00A84615">
        <w:rPr>
          <w:rFonts w:ascii="David" w:eastAsia="Times New Roman" w:hAnsi="David" w:cs="David" w:hint="cs"/>
          <w:color w:val="000000"/>
          <w:sz w:val="26"/>
          <w:szCs w:val="26"/>
          <w:rtl/>
        </w:rPr>
        <w:t>י</w:t>
      </w:r>
      <w:r w:rsidRPr="00C14FC1">
        <w:rPr>
          <w:rFonts w:ascii="David" w:eastAsia="Times New Roman" w:hAnsi="David" w:cs="David" w:hint="cs"/>
          <w:color w:val="000000"/>
          <w:sz w:val="26"/>
          <w:szCs w:val="26"/>
          <w:rtl/>
        </w:rPr>
        <w:t xml:space="preserve">ט </w:t>
      </w:r>
      <w:r w:rsidR="00A84615">
        <w:rPr>
          <w:rFonts w:ascii="David" w:eastAsia="Times New Roman" w:hAnsi="David" w:cs="David" w:hint="cs"/>
          <w:color w:val="000000"/>
          <w:sz w:val="26"/>
          <w:szCs w:val="26"/>
          <w:rtl/>
        </w:rPr>
        <w:t xml:space="preserve">קמ"ט אנרגיה </w:t>
      </w:r>
      <w:r w:rsidRPr="00C14FC1">
        <w:rPr>
          <w:rFonts w:ascii="David" w:eastAsia="Times New Roman" w:hAnsi="David" w:cs="David" w:hint="cs"/>
          <w:color w:val="000000"/>
          <w:sz w:val="26"/>
          <w:szCs w:val="26"/>
          <w:rtl/>
        </w:rPr>
        <w:t xml:space="preserve">להאריך ב- 45 </w:t>
      </w:r>
      <w:r w:rsidR="000706A6" w:rsidRPr="00C14FC1">
        <w:rPr>
          <w:rFonts w:ascii="David" w:eastAsia="Times New Roman" w:hAnsi="David" w:cs="David" w:hint="cs"/>
          <w:color w:val="000000"/>
          <w:sz w:val="26"/>
          <w:szCs w:val="26"/>
          <w:rtl/>
        </w:rPr>
        <w:t>ימים</w:t>
      </w:r>
      <w:r w:rsidRPr="00C14FC1">
        <w:rPr>
          <w:rFonts w:ascii="David" w:eastAsia="Times New Roman" w:hAnsi="David" w:cs="David" w:hint="cs"/>
          <w:color w:val="000000"/>
          <w:sz w:val="26"/>
          <w:szCs w:val="26"/>
          <w:rtl/>
        </w:rPr>
        <w:t xml:space="preserve"> נוספים את המועדים בהלי</w:t>
      </w:r>
      <w:r w:rsidR="000706A6" w:rsidRPr="00C14FC1">
        <w:rPr>
          <w:rFonts w:ascii="David" w:eastAsia="Times New Roman" w:hAnsi="David" w:cs="David" w:hint="cs"/>
          <w:color w:val="000000"/>
          <w:sz w:val="26"/>
          <w:szCs w:val="26"/>
          <w:rtl/>
        </w:rPr>
        <w:t xml:space="preserve">כים המפורטים בטבלה </w:t>
      </w:r>
      <w:r w:rsidR="00690B78" w:rsidRPr="00C14FC1">
        <w:rPr>
          <w:rFonts w:ascii="David" w:eastAsia="Times New Roman" w:hAnsi="David" w:cs="David" w:hint="cs"/>
          <w:color w:val="000000"/>
          <w:sz w:val="26"/>
          <w:szCs w:val="26"/>
          <w:rtl/>
        </w:rPr>
        <w:t xml:space="preserve">(נספח א' </w:t>
      </w:r>
      <w:r w:rsidR="0058644A">
        <w:rPr>
          <w:rFonts w:ascii="David" w:eastAsia="Times New Roman" w:hAnsi="David" w:cs="David" w:hint="cs"/>
          <w:color w:val="000000"/>
          <w:sz w:val="26"/>
          <w:szCs w:val="26"/>
          <w:rtl/>
        </w:rPr>
        <w:t xml:space="preserve">להודעה </w:t>
      </w:r>
      <w:r w:rsidR="00026E3B">
        <w:rPr>
          <w:rFonts w:ascii="David" w:eastAsia="Times New Roman" w:hAnsi="David" w:cs="David" w:hint="cs"/>
          <w:color w:val="000000"/>
          <w:sz w:val="26"/>
          <w:szCs w:val="26"/>
          <w:rtl/>
        </w:rPr>
        <w:t>הנ"ל</w:t>
      </w:r>
      <w:r w:rsidR="00C64139">
        <w:rPr>
          <w:rFonts w:ascii="David" w:eastAsia="Times New Roman" w:hAnsi="David" w:cs="David" w:hint="cs"/>
          <w:color w:val="000000"/>
          <w:sz w:val="26"/>
          <w:szCs w:val="26"/>
          <w:rtl/>
        </w:rPr>
        <w:t xml:space="preserve"> </w:t>
      </w:r>
      <w:r w:rsidR="008F350C">
        <w:rPr>
          <w:rFonts w:cs="David" w:hint="cs"/>
          <w:sz w:val="26"/>
          <w:szCs w:val="26"/>
          <w:rtl/>
        </w:rPr>
        <w:t>בפרסומי רשות החשמל, ראו קישור מטה</w:t>
      </w:r>
      <w:r w:rsidR="008F350C">
        <w:rPr>
          <w:rFonts w:ascii="David" w:eastAsia="Times New Roman" w:hAnsi="David" w:cs="David" w:hint="cs"/>
          <w:color w:val="000000"/>
          <w:sz w:val="26"/>
          <w:szCs w:val="26"/>
          <w:rtl/>
        </w:rPr>
        <w:t xml:space="preserve">) </w:t>
      </w:r>
      <w:r w:rsidR="000706A6" w:rsidRPr="00C14FC1">
        <w:rPr>
          <w:rFonts w:ascii="David" w:eastAsia="Times New Roman" w:hAnsi="David" w:cs="David" w:hint="cs"/>
          <w:color w:val="000000"/>
          <w:sz w:val="26"/>
          <w:szCs w:val="26"/>
          <w:rtl/>
        </w:rPr>
        <w:t>ו</w:t>
      </w:r>
      <w:r w:rsidR="0058644A">
        <w:rPr>
          <w:rFonts w:ascii="David" w:eastAsia="Times New Roman" w:hAnsi="David" w:cs="David" w:hint="cs"/>
          <w:color w:val="000000"/>
          <w:sz w:val="26"/>
          <w:szCs w:val="26"/>
          <w:rtl/>
        </w:rPr>
        <w:t>אשר העמידה ב</w:t>
      </w:r>
      <w:r w:rsidR="000706A6" w:rsidRPr="00C14FC1">
        <w:rPr>
          <w:rFonts w:ascii="David" w:eastAsia="Times New Roman" w:hAnsi="David" w:cs="David" w:hint="cs"/>
          <w:color w:val="000000"/>
          <w:sz w:val="26"/>
          <w:szCs w:val="26"/>
          <w:rtl/>
        </w:rPr>
        <w:t>ה</w:t>
      </w:r>
      <w:r w:rsidR="0058644A">
        <w:rPr>
          <w:rFonts w:ascii="David" w:eastAsia="Times New Roman" w:hAnsi="David" w:cs="David" w:hint="cs"/>
          <w:color w:val="000000"/>
          <w:sz w:val="26"/>
          <w:szCs w:val="26"/>
          <w:rtl/>
        </w:rPr>
        <w:t xml:space="preserve">ם </w:t>
      </w:r>
      <w:r w:rsidR="000706A6" w:rsidRPr="00C14FC1">
        <w:rPr>
          <w:rFonts w:ascii="David" w:eastAsia="Times New Roman" w:hAnsi="David" w:cs="David" w:hint="cs"/>
          <w:color w:val="000000"/>
          <w:sz w:val="26"/>
          <w:szCs w:val="26"/>
          <w:rtl/>
        </w:rPr>
        <w:t>נדרש</w:t>
      </w:r>
      <w:r w:rsidR="0058644A">
        <w:rPr>
          <w:rFonts w:ascii="David" w:eastAsia="Times New Roman" w:hAnsi="David" w:cs="David" w:hint="cs"/>
          <w:color w:val="000000"/>
          <w:sz w:val="26"/>
          <w:szCs w:val="26"/>
          <w:rtl/>
        </w:rPr>
        <w:t>ת</w:t>
      </w:r>
      <w:r w:rsidR="000706A6" w:rsidRPr="00C14FC1">
        <w:rPr>
          <w:rFonts w:ascii="David" w:eastAsia="Times New Roman" w:hAnsi="David" w:cs="David" w:hint="cs"/>
          <w:color w:val="000000"/>
          <w:sz w:val="26"/>
          <w:szCs w:val="26"/>
          <w:rtl/>
        </w:rPr>
        <w:t xml:space="preserve"> ל</w:t>
      </w:r>
      <w:r w:rsidR="0058644A">
        <w:rPr>
          <w:rFonts w:ascii="David" w:eastAsia="Times New Roman" w:hAnsi="David" w:cs="David" w:hint="cs"/>
          <w:color w:val="000000"/>
          <w:sz w:val="26"/>
          <w:szCs w:val="26"/>
          <w:rtl/>
        </w:rPr>
        <w:t xml:space="preserve">צורך קבלת </w:t>
      </w:r>
      <w:r w:rsidR="000706A6" w:rsidRPr="00C14FC1">
        <w:rPr>
          <w:rFonts w:ascii="David" w:eastAsia="Times New Roman" w:hAnsi="David" w:cs="David" w:hint="cs"/>
          <w:color w:val="000000"/>
          <w:sz w:val="26"/>
          <w:szCs w:val="26"/>
          <w:rtl/>
        </w:rPr>
        <w:t>היתר הפעלה מהח"מ.</w:t>
      </w:r>
    </w:p>
    <w:p w:rsidR="00196D9E" w:rsidRPr="00EB430C" w:rsidRDefault="007D5C29" w:rsidP="00A84615">
      <w:pPr>
        <w:spacing w:after="120" w:line="360" w:lineRule="auto"/>
        <w:jc w:val="both"/>
        <w:rPr>
          <w:rFonts w:ascii="David" w:eastAsia="Times New Roman" w:hAnsi="David" w:cs="David"/>
          <w:b/>
          <w:bCs/>
          <w:color w:val="000000"/>
          <w:sz w:val="26"/>
          <w:szCs w:val="26"/>
          <w:rtl/>
        </w:rPr>
      </w:pPr>
      <w:r w:rsidRPr="00EB430C">
        <w:rPr>
          <w:rFonts w:ascii="David" w:eastAsia="Times New Roman" w:hAnsi="David" w:cs="David" w:hint="cs"/>
          <w:b/>
          <w:bCs/>
          <w:color w:val="000000"/>
          <w:sz w:val="26"/>
          <w:szCs w:val="26"/>
          <w:rtl/>
        </w:rPr>
        <w:t xml:space="preserve">סעיפי ההחלטה:  </w:t>
      </w:r>
    </w:p>
    <w:p w:rsidR="00196D9E" w:rsidRPr="00C14FC1" w:rsidRDefault="00196D9E" w:rsidP="002F2636">
      <w:pPr>
        <w:jc w:val="both"/>
        <w:rPr>
          <w:rFonts w:cs="David"/>
          <w:sz w:val="26"/>
          <w:szCs w:val="26"/>
          <w:rtl/>
        </w:rPr>
      </w:pPr>
      <w:r w:rsidRPr="00C14FC1">
        <w:rPr>
          <w:rFonts w:cs="David"/>
          <w:sz w:val="26"/>
          <w:szCs w:val="26"/>
          <w:rtl/>
        </w:rPr>
        <w:t>בתוקף סמכות</w:t>
      </w:r>
      <w:r w:rsidR="002F2636" w:rsidRPr="00C14FC1">
        <w:rPr>
          <w:rFonts w:cs="David" w:hint="cs"/>
          <w:sz w:val="26"/>
          <w:szCs w:val="26"/>
          <w:rtl/>
        </w:rPr>
        <w:t>י</w:t>
      </w:r>
      <w:r w:rsidRPr="00C14FC1">
        <w:rPr>
          <w:rFonts w:cs="David"/>
          <w:sz w:val="26"/>
          <w:szCs w:val="26"/>
          <w:rtl/>
        </w:rPr>
        <w:t xml:space="preserve"> לפי </w:t>
      </w:r>
      <w:r w:rsidR="002F2636" w:rsidRPr="00C14FC1">
        <w:rPr>
          <w:rFonts w:cs="David" w:hint="cs"/>
          <w:sz w:val="26"/>
          <w:szCs w:val="26"/>
          <w:rtl/>
        </w:rPr>
        <w:t>צו 427 בדבר עיסוק בחשמל (הסדרה והפעלה)</w:t>
      </w:r>
      <w:r w:rsidRPr="00C14FC1">
        <w:rPr>
          <w:rFonts w:cs="David"/>
          <w:sz w:val="26"/>
          <w:szCs w:val="26"/>
          <w:rtl/>
        </w:rPr>
        <w:t xml:space="preserve"> ויתר </w:t>
      </w:r>
      <w:r w:rsidR="002F2636" w:rsidRPr="00C14FC1">
        <w:rPr>
          <w:rFonts w:cs="David" w:hint="cs"/>
          <w:sz w:val="26"/>
          <w:szCs w:val="26"/>
          <w:rtl/>
        </w:rPr>
        <w:t>סמכויותי</w:t>
      </w:r>
      <w:r w:rsidR="002F2636" w:rsidRPr="00C14FC1">
        <w:rPr>
          <w:rFonts w:cs="David" w:hint="eastAsia"/>
          <w:sz w:val="26"/>
          <w:szCs w:val="26"/>
          <w:rtl/>
        </w:rPr>
        <w:t>י</w:t>
      </w:r>
      <w:r w:rsidRPr="00C14FC1">
        <w:rPr>
          <w:rFonts w:cs="David"/>
          <w:sz w:val="26"/>
          <w:szCs w:val="26"/>
          <w:rtl/>
        </w:rPr>
        <w:t xml:space="preserve"> על פי דין, </w:t>
      </w:r>
      <w:r w:rsidR="002F2636" w:rsidRPr="00C14FC1">
        <w:rPr>
          <w:rFonts w:cs="David" w:hint="cs"/>
          <w:sz w:val="26"/>
          <w:szCs w:val="26"/>
          <w:rtl/>
        </w:rPr>
        <w:t xml:space="preserve">אני </w:t>
      </w:r>
      <w:r w:rsidRPr="00C14FC1">
        <w:rPr>
          <w:rFonts w:cs="David"/>
          <w:sz w:val="26"/>
          <w:szCs w:val="26"/>
          <w:rtl/>
        </w:rPr>
        <w:t>מארי</w:t>
      </w:r>
      <w:r w:rsidR="002F2636" w:rsidRPr="00C14FC1">
        <w:rPr>
          <w:rFonts w:cs="David" w:hint="cs"/>
          <w:sz w:val="26"/>
          <w:szCs w:val="26"/>
          <w:rtl/>
        </w:rPr>
        <w:t>ך</w:t>
      </w:r>
      <w:r w:rsidRPr="00C14FC1">
        <w:rPr>
          <w:rFonts w:cs="David"/>
          <w:sz w:val="26"/>
          <w:szCs w:val="26"/>
          <w:rtl/>
        </w:rPr>
        <w:t xml:space="preserve"> בזאת את המועדים המחייבים והמועדים המרביים לסנכרון בהליכים התחרותיים ובאסדרות להקמת מתקני ייצור באנרגיה מתחדשת, כמפורט להלן: </w:t>
      </w:r>
    </w:p>
    <w:p w:rsidR="00B851F3" w:rsidRDefault="00196D9E">
      <w:pPr>
        <w:pStyle w:val="a8"/>
        <w:numPr>
          <w:ilvl w:val="0"/>
          <w:numId w:val="8"/>
        </w:numPr>
        <w:jc w:val="both"/>
        <w:rPr>
          <w:rFonts w:cs="David"/>
          <w:sz w:val="26"/>
          <w:szCs w:val="26"/>
          <w:rtl/>
        </w:rPr>
      </w:pPr>
      <w:r w:rsidRPr="00C14FC1">
        <w:rPr>
          <w:rFonts w:cs="David"/>
          <w:sz w:val="26"/>
          <w:szCs w:val="26"/>
          <w:rtl/>
        </w:rPr>
        <w:t xml:space="preserve">המועדים המחייבים והמועדים המחייבים המרביים בהליכים התחרותיים ובאסדרות המפורטות בטבלה שבנספח </w:t>
      </w:r>
      <w:r w:rsidR="00DF6148" w:rsidRPr="00C14FC1">
        <w:rPr>
          <w:rFonts w:cs="David"/>
          <w:sz w:val="26"/>
          <w:szCs w:val="26"/>
          <w:rtl/>
        </w:rPr>
        <w:t>א'</w:t>
      </w:r>
      <w:r w:rsidR="00DF6148" w:rsidRPr="00C14FC1">
        <w:rPr>
          <w:rFonts w:cs="David" w:hint="cs"/>
          <w:sz w:val="26"/>
          <w:szCs w:val="26"/>
          <w:rtl/>
        </w:rPr>
        <w:t xml:space="preserve"> </w:t>
      </w:r>
      <w:r w:rsidR="00F90587">
        <w:rPr>
          <w:rFonts w:cs="David" w:hint="cs"/>
          <w:sz w:val="26"/>
          <w:szCs w:val="26"/>
          <w:rtl/>
        </w:rPr>
        <w:t xml:space="preserve">הנ"ל </w:t>
      </w:r>
      <w:r w:rsidRPr="00C14FC1">
        <w:rPr>
          <w:rFonts w:cs="David"/>
          <w:sz w:val="26"/>
          <w:szCs w:val="26"/>
          <w:rtl/>
        </w:rPr>
        <w:t>לה</w:t>
      </w:r>
      <w:r w:rsidR="00D235B0">
        <w:rPr>
          <w:rFonts w:cs="David" w:hint="cs"/>
          <w:sz w:val="26"/>
          <w:szCs w:val="26"/>
          <w:rtl/>
        </w:rPr>
        <w:t>ודעה</w:t>
      </w:r>
      <w:r w:rsidRPr="00C14FC1">
        <w:rPr>
          <w:rFonts w:cs="David"/>
          <w:sz w:val="26"/>
          <w:szCs w:val="26"/>
          <w:rtl/>
        </w:rPr>
        <w:t xml:space="preserve"> זו יוארכו ב</w:t>
      </w:r>
      <w:r w:rsidR="00DF6148" w:rsidRPr="00C14FC1">
        <w:rPr>
          <w:rFonts w:cs="David"/>
          <w:sz w:val="26"/>
          <w:szCs w:val="26"/>
          <w:rtl/>
        </w:rPr>
        <w:t xml:space="preserve">- 45 </w:t>
      </w:r>
      <w:r w:rsidRPr="00C14FC1">
        <w:rPr>
          <w:rFonts w:cs="David"/>
          <w:sz w:val="26"/>
          <w:szCs w:val="26"/>
          <w:rtl/>
        </w:rPr>
        <w:t xml:space="preserve"> ימים, ללא תוספת ערבות (להלן: "המועדים</w:t>
      </w:r>
      <w:r w:rsidR="00DF6148" w:rsidRPr="00C14FC1">
        <w:rPr>
          <w:rFonts w:cs="David" w:hint="cs"/>
          <w:sz w:val="26"/>
          <w:szCs w:val="26"/>
          <w:rtl/>
        </w:rPr>
        <w:t xml:space="preserve"> </w:t>
      </w:r>
      <w:r w:rsidRPr="00C14FC1">
        <w:rPr>
          <w:rFonts w:cs="David"/>
          <w:sz w:val="26"/>
          <w:szCs w:val="26"/>
          <w:rtl/>
        </w:rPr>
        <w:t xml:space="preserve">המעודכנים"). </w:t>
      </w:r>
    </w:p>
    <w:p w:rsidR="00B851F3" w:rsidRDefault="00DF6148">
      <w:pPr>
        <w:pStyle w:val="a8"/>
        <w:numPr>
          <w:ilvl w:val="0"/>
          <w:numId w:val="8"/>
        </w:numPr>
        <w:jc w:val="both"/>
        <w:rPr>
          <w:rFonts w:cs="David"/>
          <w:sz w:val="26"/>
          <w:szCs w:val="26"/>
        </w:rPr>
      </w:pPr>
      <w:r w:rsidRPr="00C14FC1">
        <w:rPr>
          <w:rFonts w:cs="David"/>
          <w:sz w:val="26"/>
          <w:szCs w:val="26"/>
          <w:rtl/>
        </w:rPr>
        <w:t>אמת מידה</w:t>
      </w:r>
      <w:r w:rsidR="00196D9E" w:rsidRPr="00C14FC1">
        <w:rPr>
          <w:rFonts w:cs="David"/>
          <w:sz w:val="26"/>
          <w:szCs w:val="26"/>
          <w:rtl/>
        </w:rPr>
        <w:t xml:space="preserve"> </w:t>
      </w:r>
      <w:r w:rsidR="002F2636" w:rsidRPr="00C14FC1">
        <w:rPr>
          <w:rFonts w:cs="David"/>
          <w:sz w:val="26"/>
          <w:szCs w:val="26"/>
          <w:rtl/>
        </w:rPr>
        <w:t>176</w:t>
      </w:r>
      <w:r w:rsidR="00196D9E" w:rsidRPr="00C14FC1">
        <w:rPr>
          <w:rFonts w:cs="David"/>
          <w:sz w:val="26"/>
          <w:szCs w:val="26"/>
          <w:rtl/>
        </w:rPr>
        <w:t>א "תנאים לזכאות לתעריף למיתקנים שאינם נכללים במכסה הזוכה בהליכים</w:t>
      </w:r>
      <w:r w:rsidRPr="00C14FC1">
        <w:rPr>
          <w:rFonts w:cs="David" w:hint="cs"/>
          <w:sz w:val="26"/>
          <w:szCs w:val="26"/>
          <w:rtl/>
        </w:rPr>
        <w:t xml:space="preserve"> </w:t>
      </w:r>
      <w:r w:rsidR="00196D9E" w:rsidRPr="00C14FC1">
        <w:rPr>
          <w:rFonts w:cs="David"/>
          <w:sz w:val="26"/>
          <w:szCs w:val="26"/>
          <w:rtl/>
        </w:rPr>
        <w:t>תחרותיים", תעודכן בהתאם לנוסח המצורף בנספח ב' לה</w:t>
      </w:r>
      <w:r w:rsidR="00770619">
        <w:rPr>
          <w:rFonts w:cs="David" w:hint="cs"/>
          <w:sz w:val="26"/>
          <w:szCs w:val="26"/>
          <w:rtl/>
        </w:rPr>
        <w:t>ודעה</w:t>
      </w:r>
      <w:r w:rsidR="00196D9E" w:rsidRPr="00C14FC1">
        <w:rPr>
          <w:rFonts w:cs="David"/>
          <w:sz w:val="26"/>
          <w:szCs w:val="26"/>
          <w:rtl/>
        </w:rPr>
        <w:t xml:space="preserve"> זו</w:t>
      </w:r>
      <w:r w:rsidR="00F90587">
        <w:rPr>
          <w:rFonts w:cs="David" w:hint="cs"/>
          <w:sz w:val="26"/>
          <w:szCs w:val="26"/>
          <w:rtl/>
        </w:rPr>
        <w:t xml:space="preserve"> בפרסומי קמ"ט אנרגיה בקישור שלעיל</w:t>
      </w:r>
      <w:r w:rsidR="00196D9E" w:rsidRPr="00C14FC1">
        <w:rPr>
          <w:rFonts w:cs="David"/>
          <w:sz w:val="26"/>
          <w:szCs w:val="26"/>
          <w:rtl/>
        </w:rPr>
        <w:t xml:space="preserve">. </w:t>
      </w:r>
    </w:p>
    <w:p w:rsidR="00B851F3" w:rsidRDefault="00DF6148">
      <w:pPr>
        <w:pStyle w:val="a8"/>
        <w:numPr>
          <w:ilvl w:val="0"/>
          <w:numId w:val="8"/>
        </w:numPr>
        <w:jc w:val="both"/>
        <w:rPr>
          <w:rFonts w:cs="David"/>
          <w:sz w:val="26"/>
          <w:szCs w:val="26"/>
        </w:rPr>
      </w:pPr>
      <w:r w:rsidRPr="00C14FC1">
        <w:rPr>
          <w:rFonts w:cs="David"/>
          <w:sz w:val="26"/>
          <w:szCs w:val="26"/>
          <w:rtl/>
        </w:rPr>
        <w:t>התקופה הקבועה באמת מידה</w:t>
      </w:r>
      <w:r w:rsidR="00196D9E" w:rsidRPr="00C14FC1">
        <w:rPr>
          <w:rFonts w:cs="David"/>
          <w:sz w:val="26"/>
          <w:szCs w:val="26"/>
          <w:rtl/>
        </w:rPr>
        <w:t xml:space="preserve"> </w:t>
      </w:r>
      <w:r w:rsidRPr="00C14FC1">
        <w:rPr>
          <w:rFonts w:cs="David" w:hint="cs"/>
          <w:sz w:val="26"/>
          <w:szCs w:val="26"/>
          <w:rtl/>
        </w:rPr>
        <w:t>2</w:t>
      </w:r>
      <w:r w:rsidR="00614840">
        <w:rPr>
          <w:rFonts w:cs="David" w:hint="cs"/>
          <w:sz w:val="26"/>
          <w:szCs w:val="26"/>
          <w:rtl/>
        </w:rPr>
        <w:t>2</w:t>
      </w:r>
      <w:r w:rsidRPr="00C14FC1">
        <w:rPr>
          <w:rFonts w:cs="David" w:hint="cs"/>
          <w:sz w:val="26"/>
          <w:szCs w:val="26"/>
          <w:rtl/>
        </w:rPr>
        <w:t>0</w:t>
      </w:r>
      <w:r w:rsidR="00196D9E" w:rsidRPr="00C14FC1">
        <w:rPr>
          <w:rFonts w:cs="David"/>
          <w:sz w:val="26"/>
          <w:szCs w:val="26"/>
          <w:rtl/>
        </w:rPr>
        <w:t>ד(ה)(</w:t>
      </w:r>
      <w:r w:rsidRPr="00C14FC1">
        <w:rPr>
          <w:rFonts w:cs="David" w:hint="cs"/>
          <w:sz w:val="26"/>
          <w:szCs w:val="26"/>
          <w:rtl/>
        </w:rPr>
        <w:t>1</w:t>
      </w:r>
      <w:r w:rsidR="00196D9E" w:rsidRPr="00C14FC1">
        <w:rPr>
          <w:rFonts w:cs="David"/>
          <w:sz w:val="26"/>
          <w:szCs w:val="26"/>
          <w:rtl/>
        </w:rPr>
        <w:t>0</w:t>
      </w:r>
      <w:r w:rsidRPr="00C14FC1">
        <w:rPr>
          <w:rFonts w:cs="David"/>
          <w:sz w:val="26"/>
          <w:szCs w:val="26"/>
          <w:rtl/>
        </w:rPr>
        <w:t>)</w:t>
      </w:r>
      <w:r w:rsidR="00196D9E" w:rsidRPr="00C14FC1">
        <w:rPr>
          <w:rFonts w:cs="David"/>
          <w:sz w:val="26"/>
          <w:szCs w:val="26"/>
          <w:rtl/>
        </w:rPr>
        <w:t xml:space="preserve"> </w:t>
      </w:r>
      <w:r w:rsidRPr="00C14FC1">
        <w:rPr>
          <w:rFonts w:cs="David"/>
          <w:sz w:val="26"/>
          <w:szCs w:val="26"/>
          <w:rtl/>
        </w:rPr>
        <w:t xml:space="preserve">לוויתור על מימוש הספק בהליך התחרותי הראשון </w:t>
      </w:r>
      <w:r w:rsidR="00196D9E" w:rsidRPr="00C14FC1">
        <w:rPr>
          <w:rFonts w:cs="David"/>
          <w:sz w:val="26"/>
          <w:szCs w:val="26"/>
          <w:rtl/>
        </w:rPr>
        <w:t xml:space="preserve">למיתקנים בדו שימוש ולקבלת החזר יחסי של ערבות ההקמה תוארך </w:t>
      </w:r>
      <w:r w:rsidR="00AB7099" w:rsidRPr="00C14FC1">
        <w:rPr>
          <w:rFonts w:cs="David"/>
          <w:sz w:val="26"/>
          <w:szCs w:val="26"/>
          <w:rtl/>
        </w:rPr>
        <w:t>ב- 45</w:t>
      </w:r>
      <w:r w:rsidR="002F2636" w:rsidRPr="00C14FC1">
        <w:rPr>
          <w:rFonts w:cs="David"/>
          <w:sz w:val="26"/>
          <w:szCs w:val="26"/>
          <w:rtl/>
        </w:rPr>
        <w:t xml:space="preserve"> ימים</w:t>
      </w:r>
      <w:r w:rsidR="00196D9E" w:rsidRPr="00C14FC1">
        <w:rPr>
          <w:rFonts w:cs="David"/>
          <w:sz w:val="26"/>
          <w:szCs w:val="26"/>
          <w:rtl/>
        </w:rPr>
        <w:t xml:space="preserve">. </w:t>
      </w:r>
    </w:p>
    <w:p w:rsidR="00B851F3" w:rsidRDefault="00196D9E">
      <w:pPr>
        <w:pStyle w:val="a8"/>
        <w:numPr>
          <w:ilvl w:val="0"/>
          <w:numId w:val="8"/>
        </w:numPr>
        <w:jc w:val="both"/>
        <w:rPr>
          <w:rFonts w:cs="David"/>
          <w:sz w:val="26"/>
          <w:szCs w:val="26"/>
        </w:rPr>
      </w:pPr>
      <w:r w:rsidRPr="00C14FC1">
        <w:rPr>
          <w:rFonts w:cs="David"/>
          <w:sz w:val="26"/>
          <w:szCs w:val="26"/>
          <w:rtl/>
        </w:rPr>
        <w:t>אישור עמידה בתנאים לסנכרון בהתאם למועדים המעודכנים</w:t>
      </w:r>
      <w:r w:rsidR="00626F3E">
        <w:rPr>
          <w:rFonts w:cs="David" w:hint="cs"/>
          <w:sz w:val="26"/>
          <w:szCs w:val="26"/>
          <w:rtl/>
        </w:rPr>
        <w:t>,</w:t>
      </w:r>
      <w:r w:rsidRPr="00C14FC1">
        <w:rPr>
          <w:rFonts w:cs="David"/>
          <w:sz w:val="26"/>
          <w:szCs w:val="26"/>
          <w:rtl/>
        </w:rPr>
        <w:t xml:space="preserve"> יתאפשר רק למי שימסור לרשות או</w:t>
      </w:r>
      <w:r w:rsidR="00AB7099" w:rsidRPr="00C14FC1">
        <w:rPr>
          <w:rFonts w:cs="David" w:hint="cs"/>
          <w:sz w:val="26"/>
          <w:szCs w:val="26"/>
          <w:rtl/>
        </w:rPr>
        <w:t xml:space="preserve"> </w:t>
      </w:r>
      <w:r w:rsidRPr="00C14FC1">
        <w:rPr>
          <w:rFonts w:cs="David"/>
          <w:sz w:val="26"/>
          <w:szCs w:val="26"/>
          <w:rtl/>
        </w:rPr>
        <w:t>למחלק, לפי העניין, עד המועד המחייב המרבי טרם החלטה זו כפי שנקבע לכל סוג מתקן במסמכי ההליכים והאסדרות, מסמכים המעידים על הארכת ערבות הקמה אשר תעמוד בתוקפה לפחות עד</w:t>
      </w:r>
      <w:r w:rsidR="00C14FC1" w:rsidRPr="00C14FC1">
        <w:rPr>
          <w:rFonts w:cs="David" w:hint="cs"/>
          <w:sz w:val="26"/>
          <w:szCs w:val="26"/>
          <w:rtl/>
        </w:rPr>
        <w:t xml:space="preserve"> </w:t>
      </w:r>
      <w:r w:rsidR="00AB7099" w:rsidRPr="00C14FC1">
        <w:rPr>
          <w:rFonts w:cs="David"/>
          <w:sz w:val="26"/>
          <w:szCs w:val="26"/>
          <w:rtl/>
        </w:rPr>
        <w:t xml:space="preserve">45 </w:t>
      </w:r>
      <w:r w:rsidRPr="00C14FC1">
        <w:rPr>
          <w:rFonts w:cs="David"/>
          <w:sz w:val="26"/>
          <w:szCs w:val="26"/>
          <w:rtl/>
        </w:rPr>
        <w:t xml:space="preserve">ימים לאחר המועדים המעודכנים. המועדים למסירת הודעות על הארכת הערבויות ומועדי התוקף של הערבויות </w:t>
      </w:r>
      <w:r w:rsidR="00C14FC1" w:rsidRPr="00C14FC1">
        <w:rPr>
          <w:rFonts w:cs="David"/>
          <w:sz w:val="26"/>
          <w:szCs w:val="26"/>
          <w:rtl/>
        </w:rPr>
        <w:t>המוארכות מפורטים בנספח ג' לה</w:t>
      </w:r>
      <w:r w:rsidR="00626F3E">
        <w:rPr>
          <w:rFonts w:cs="David" w:hint="cs"/>
          <w:sz w:val="26"/>
          <w:szCs w:val="26"/>
          <w:rtl/>
        </w:rPr>
        <w:t>ודע</w:t>
      </w:r>
      <w:r w:rsidR="00B47720">
        <w:rPr>
          <w:rFonts w:cs="David" w:hint="cs"/>
          <w:sz w:val="26"/>
          <w:szCs w:val="26"/>
          <w:rtl/>
        </w:rPr>
        <w:t>ה</w:t>
      </w:r>
      <w:r w:rsidR="00C14FC1" w:rsidRPr="00C14FC1">
        <w:rPr>
          <w:rFonts w:cs="David" w:hint="cs"/>
          <w:sz w:val="26"/>
          <w:szCs w:val="26"/>
          <w:rtl/>
        </w:rPr>
        <w:t xml:space="preserve"> זו בפרסומי </w:t>
      </w:r>
      <w:r w:rsidR="002A1D84">
        <w:rPr>
          <w:rFonts w:cs="David" w:hint="cs"/>
          <w:sz w:val="26"/>
          <w:szCs w:val="26"/>
          <w:rtl/>
        </w:rPr>
        <w:t>קמ"ט אנרגיה בקישור</w:t>
      </w:r>
      <w:r w:rsidR="00B47720">
        <w:rPr>
          <w:rFonts w:cs="David" w:hint="cs"/>
          <w:sz w:val="26"/>
          <w:szCs w:val="26"/>
          <w:rtl/>
        </w:rPr>
        <w:t xml:space="preserve"> שלעיל</w:t>
      </w:r>
      <w:r w:rsidRPr="00C14FC1">
        <w:rPr>
          <w:rFonts w:cs="David"/>
          <w:sz w:val="26"/>
          <w:szCs w:val="26"/>
          <w:rtl/>
        </w:rPr>
        <w:t xml:space="preserve">. </w:t>
      </w:r>
    </w:p>
    <w:p w:rsidR="00AB7099" w:rsidRPr="00C14FC1" w:rsidRDefault="00196D9E" w:rsidP="00355244">
      <w:pPr>
        <w:pStyle w:val="a8"/>
        <w:numPr>
          <w:ilvl w:val="0"/>
          <w:numId w:val="8"/>
        </w:numPr>
        <w:jc w:val="both"/>
        <w:rPr>
          <w:rFonts w:cs="David"/>
          <w:sz w:val="26"/>
          <w:szCs w:val="26"/>
        </w:rPr>
      </w:pPr>
      <w:r w:rsidRPr="00C14FC1">
        <w:rPr>
          <w:rFonts w:cs="David"/>
          <w:sz w:val="26"/>
          <w:szCs w:val="26"/>
          <w:rtl/>
        </w:rPr>
        <w:lastRenderedPageBreak/>
        <w:t>מנגנוני חילוטי ערבויות ההקמה הקבועים בהליכים התחרותיים ובאסדרות למתקני</w:t>
      </w:r>
      <w:r w:rsidR="00AB7099" w:rsidRPr="00C14FC1">
        <w:rPr>
          <w:rFonts w:cs="David"/>
          <w:sz w:val="26"/>
          <w:szCs w:val="26"/>
          <w:rtl/>
        </w:rPr>
        <w:t>ם פוט</w:t>
      </w:r>
      <w:r w:rsidR="00AB7099" w:rsidRPr="00C14FC1">
        <w:rPr>
          <w:rFonts w:cs="David" w:hint="cs"/>
          <w:sz w:val="26"/>
          <w:szCs w:val="26"/>
          <w:rtl/>
        </w:rPr>
        <w:t>ו</w:t>
      </w:r>
      <w:r w:rsidR="00355244">
        <w:rPr>
          <w:rFonts w:cs="David" w:hint="cs"/>
          <w:sz w:val="26"/>
          <w:szCs w:val="26"/>
          <w:rtl/>
        </w:rPr>
        <w:t>-</w:t>
      </w:r>
      <w:r w:rsidRPr="00C14FC1">
        <w:rPr>
          <w:rFonts w:cs="David"/>
          <w:sz w:val="26"/>
          <w:szCs w:val="26"/>
          <w:rtl/>
        </w:rPr>
        <w:t>וולטאיים שאינם נכללים במכסה הזוכה בהליכים תחרותיים, יישארו ללא שינוי, ו</w:t>
      </w:r>
      <w:r w:rsidR="00AB7099" w:rsidRPr="00C14FC1">
        <w:rPr>
          <w:rFonts w:cs="David"/>
          <w:sz w:val="26"/>
          <w:szCs w:val="26"/>
          <w:rtl/>
        </w:rPr>
        <w:t>יחושבו בהתאם למועדים המעודכנים.</w:t>
      </w:r>
    </w:p>
    <w:p w:rsidR="00AB7099" w:rsidRPr="00C14FC1" w:rsidRDefault="00196D9E" w:rsidP="002F2636">
      <w:pPr>
        <w:pStyle w:val="a8"/>
        <w:numPr>
          <w:ilvl w:val="0"/>
          <w:numId w:val="8"/>
        </w:numPr>
        <w:jc w:val="both"/>
        <w:rPr>
          <w:rFonts w:cs="David"/>
          <w:sz w:val="26"/>
          <w:szCs w:val="26"/>
        </w:rPr>
      </w:pPr>
      <w:r w:rsidRPr="00C14FC1">
        <w:rPr>
          <w:rFonts w:cs="David"/>
          <w:sz w:val="26"/>
          <w:szCs w:val="26"/>
          <w:rtl/>
        </w:rPr>
        <w:t>מבקש חיבור שמחזיק בסקר חיבור או בתשובת מחלק חיובי</w:t>
      </w:r>
      <w:r w:rsidR="00AB7099" w:rsidRPr="00C14FC1">
        <w:rPr>
          <w:rFonts w:cs="David"/>
          <w:sz w:val="26"/>
          <w:szCs w:val="26"/>
          <w:rtl/>
        </w:rPr>
        <w:t>ת שניתנו בהתאם למועדים המקוריים</w:t>
      </w:r>
      <w:r w:rsidRPr="00C14FC1">
        <w:rPr>
          <w:rFonts w:cs="David"/>
          <w:sz w:val="26"/>
          <w:szCs w:val="26"/>
          <w:rtl/>
        </w:rPr>
        <w:t xml:space="preserve"> ובכוונתו לסנכרן את המתקן מאוחר יותר בהמשך להחלטה זאת, יפנה למחלק או למנהל המערכת, לפי העניין, כדי לעדכן את המועדים שנקבעו במסגרת התיאום הטכני. </w:t>
      </w:r>
    </w:p>
    <w:p w:rsidR="00AB7099" w:rsidRPr="00C14FC1" w:rsidRDefault="00AB7099" w:rsidP="00F728BB">
      <w:pPr>
        <w:pStyle w:val="a8"/>
        <w:numPr>
          <w:ilvl w:val="0"/>
          <w:numId w:val="8"/>
        </w:numPr>
        <w:jc w:val="both"/>
        <w:rPr>
          <w:rFonts w:cs="David"/>
          <w:sz w:val="26"/>
          <w:szCs w:val="26"/>
        </w:rPr>
      </w:pPr>
      <w:r w:rsidRPr="00C14FC1">
        <w:rPr>
          <w:rFonts w:cs="David"/>
          <w:sz w:val="26"/>
          <w:szCs w:val="26"/>
          <w:rtl/>
        </w:rPr>
        <w:t>המועדים הקבועים באמות המידה</w:t>
      </w:r>
      <w:r w:rsidRPr="00C14FC1">
        <w:rPr>
          <w:rFonts w:cs="David" w:hint="cs"/>
          <w:sz w:val="26"/>
          <w:szCs w:val="26"/>
          <w:rtl/>
        </w:rPr>
        <w:t xml:space="preserve"> 3</w:t>
      </w:r>
      <w:r w:rsidRPr="00C14FC1">
        <w:rPr>
          <w:rFonts w:cs="David"/>
          <w:sz w:val="26"/>
          <w:szCs w:val="26"/>
          <w:rtl/>
        </w:rPr>
        <w:t xml:space="preserve">5לח(א), </w:t>
      </w:r>
      <w:r w:rsidRPr="00C14FC1">
        <w:rPr>
          <w:rFonts w:cs="David" w:hint="cs"/>
          <w:sz w:val="26"/>
          <w:szCs w:val="26"/>
          <w:rtl/>
        </w:rPr>
        <w:t xml:space="preserve">175(ג), </w:t>
      </w:r>
      <w:r w:rsidRPr="00C14FC1">
        <w:rPr>
          <w:rFonts w:cs="David"/>
          <w:sz w:val="26"/>
          <w:szCs w:val="26"/>
          <w:rtl/>
        </w:rPr>
        <w:t>176</w:t>
      </w:r>
      <w:r w:rsidRPr="00C14FC1">
        <w:rPr>
          <w:rFonts w:cs="David" w:hint="cs"/>
          <w:sz w:val="26"/>
          <w:szCs w:val="26"/>
          <w:rtl/>
        </w:rPr>
        <w:t>א</w:t>
      </w:r>
      <w:r w:rsidRPr="00C14FC1">
        <w:rPr>
          <w:rFonts w:cs="David"/>
          <w:sz w:val="26"/>
          <w:szCs w:val="26"/>
          <w:rtl/>
        </w:rPr>
        <w:t>(</w:t>
      </w:r>
      <w:r w:rsidRPr="00C14FC1">
        <w:rPr>
          <w:rFonts w:cs="David" w:hint="cs"/>
          <w:sz w:val="26"/>
          <w:szCs w:val="26"/>
          <w:rtl/>
        </w:rPr>
        <w:t>ה</w:t>
      </w:r>
      <w:r w:rsidRPr="00C14FC1">
        <w:rPr>
          <w:rFonts w:cs="David"/>
          <w:sz w:val="26"/>
          <w:szCs w:val="26"/>
          <w:rtl/>
        </w:rPr>
        <w:t xml:space="preserve">), </w:t>
      </w:r>
      <w:r w:rsidRPr="00C14FC1">
        <w:rPr>
          <w:rFonts w:cs="David" w:hint="cs"/>
          <w:sz w:val="26"/>
          <w:szCs w:val="26"/>
          <w:rtl/>
        </w:rPr>
        <w:t>214(</w:t>
      </w:r>
      <w:r w:rsidR="00196D9E" w:rsidRPr="00C14FC1">
        <w:rPr>
          <w:rFonts w:cs="David"/>
          <w:sz w:val="26"/>
          <w:szCs w:val="26"/>
          <w:rtl/>
        </w:rPr>
        <w:t>א</w:t>
      </w:r>
      <w:r w:rsidRPr="00C14FC1">
        <w:rPr>
          <w:rFonts w:cs="David" w:hint="cs"/>
          <w:sz w:val="26"/>
          <w:szCs w:val="26"/>
          <w:rtl/>
        </w:rPr>
        <w:t>1), 22</w:t>
      </w:r>
      <w:r w:rsidRPr="00C14FC1">
        <w:rPr>
          <w:rFonts w:cs="David"/>
          <w:sz w:val="26"/>
          <w:szCs w:val="26"/>
          <w:rtl/>
        </w:rPr>
        <w:t>0</w:t>
      </w:r>
      <w:r w:rsidR="00196D9E" w:rsidRPr="00C14FC1">
        <w:rPr>
          <w:rFonts w:cs="David"/>
          <w:sz w:val="26"/>
          <w:szCs w:val="26"/>
          <w:rtl/>
        </w:rPr>
        <w:t>(ג),</w:t>
      </w:r>
      <w:r w:rsidRPr="00C14FC1">
        <w:rPr>
          <w:rFonts w:cs="David" w:hint="cs"/>
          <w:sz w:val="26"/>
          <w:szCs w:val="26"/>
          <w:rtl/>
        </w:rPr>
        <w:t xml:space="preserve"> </w:t>
      </w:r>
      <w:r w:rsidR="00196D9E" w:rsidRPr="00C14FC1">
        <w:rPr>
          <w:rFonts w:cs="David"/>
          <w:sz w:val="26"/>
          <w:szCs w:val="26"/>
          <w:rtl/>
        </w:rPr>
        <w:t>(ט) ו-(י)</w:t>
      </w:r>
      <w:r w:rsidR="00F728BB">
        <w:rPr>
          <w:rFonts w:cs="David" w:hint="cs"/>
          <w:sz w:val="26"/>
          <w:szCs w:val="26"/>
          <w:rtl/>
        </w:rPr>
        <w:t>,</w:t>
      </w:r>
      <w:r w:rsidR="00196D9E" w:rsidRPr="00C14FC1">
        <w:rPr>
          <w:rFonts w:cs="David"/>
          <w:sz w:val="26"/>
          <w:szCs w:val="26"/>
          <w:rtl/>
        </w:rPr>
        <w:t xml:space="preserve"> 220</w:t>
      </w:r>
      <w:r w:rsidRPr="00C14FC1">
        <w:rPr>
          <w:rFonts w:cs="David" w:hint="cs"/>
          <w:sz w:val="26"/>
          <w:szCs w:val="26"/>
          <w:rtl/>
        </w:rPr>
        <w:t>א(ד)</w:t>
      </w:r>
      <w:r w:rsidR="00F728BB">
        <w:rPr>
          <w:rFonts w:cs="David" w:hint="cs"/>
          <w:sz w:val="26"/>
          <w:szCs w:val="26"/>
          <w:rtl/>
        </w:rPr>
        <w:t>,</w:t>
      </w:r>
      <w:r w:rsidRPr="00C14FC1">
        <w:rPr>
          <w:rFonts w:cs="David" w:hint="cs"/>
          <w:sz w:val="26"/>
          <w:szCs w:val="26"/>
          <w:rtl/>
        </w:rPr>
        <w:t xml:space="preserve"> </w:t>
      </w:r>
      <w:r w:rsidRPr="00C14FC1">
        <w:rPr>
          <w:rFonts w:cs="David"/>
          <w:sz w:val="26"/>
          <w:szCs w:val="26"/>
          <w:rtl/>
        </w:rPr>
        <w:t>220ב(ח</w:t>
      </w:r>
      <w:r w:rsidRPr="00C14FC1">
        <w:rPr>
          <w:rFonts w:cs="David" w:hint="cs"/>
          <w:sz w:val="26"/>
          <w:szCs w:val="26"/>
          <w:rtl/>
        </w:rPr>
        <w:t>)</w:t>
      </w:r>
      <w:r w:rsidRPr="00C14FC1">
        <w:rPr>
          <w:rFonts w:cs="David"/>
          <w:sz w:val="26"/>
          <w:szCs w:val="26"/>
          <w:rtl/>
        </w:rPr>
        <w:t xml:space="preserve"> ו</w:t>
      </w:r>
      <w:r w:rsidR="00F728BB">
        <w:rPr>
          <w:rFonts w:cs="David" w:hint="cs"/>
          <w:sz w:val="26"/>
          <w:szCs w:val="26"/>
          <w:rtl/>
        </w:rPr>
        <w:t xml:space="preserve">- </w:t>
      </w:r>
      <w:r w:rsidRPr="00C14FC1">
        <w:rPr>
          <w:rFonts w:cs="David"/>
          <w:sz w:val="26"/>
          <w:szCs w:val="26"/>
          <w:rtl/>
        </w:rPr>
        <w:t>220ד(ה)(</w:t>
      </w:r>
      <w:r w:rsidRPr="00C14FC1">
        <w:rPr>
          <w:rFonts w:cs="David" w:hint="cs"/>
          <w:sz w:val="26"/>
          <w:szCs w:val="26"/>
          <w:rtl/>
        </w:rPr>
        <w:t>1</w:t>
      </w:r>
      <w:r w:rsidRPr="00C14FC1">
        <w:rPr>
          <w:rFonts w:cs="David"/>
          <w:sz w:val="26"/>
          <w:szCs w:val="26"/>
          <w:rtl/>
        </w:rPr>
        <w:t>)</w:t>
      </w:r>
      <w:r w:rsidR="00F728BB">
        <w:rPr>
          <w:rFonts w:cs="David" w:hint="cs"/>
          <w:sz w:val="26"/>
          <w:szCs w:val="26"/>
          <w:rtl/>
        </w:rPr>
        <w:t>,</w:t>
      </w:r>
      <w:r w:rsidRPr="00C14FC1">
        <w:rPr>
          <w:rFonts w:cs="David"/>
          <w:sz w:val="26"/>
          <w:szCs w:val="26"/>
          <w:rtl/>
        </w:rPr>
        <w:t xml:space="preserve"> </w:t>
      </w:r>
      <w:r w:rsidR="00196D9E" w:rsidRPr="00C14FC1">
        <w:rPr>
          <w:rFonts w:cs="David"/>
          <w:sz w:val="26"/>
          <w:szCs w:val="26"/>
          <w:rtl/>
        </w:rPr>
        <w:t>יתוקנו בהתאם למועדים המעודכנים</w:t>
      </w:r>
      <w:r w:rsidRPr="00C14FC1">
        <w:rPr>
          <w:rFonts w:cs="David" w:hint="cs"/>
          <w:sz w:val="26"/>
          <w:szCs w:val="26"/>
          <w:rtl/>
        </w:rPr>
        <w:t>.</w:t>
      </w:r>
    </w:p>
    <w:p w:rsidR="00B851F3" w:rsidRDefault="00196D9E">
      <w:pPr>
        <w:pStyle w:val="a8"/>
        <w:numPr>
          <w:ilvl w:val="0"/>
          <w:numId w:val="8"/>
        </w:numPr>
        <w:jc w:val="both"/>
        <w:rPr>
          <w:rFonts w:cs="David"/>
          <w:sz w:val="26"/>
          <w:szCs w:val="26"/>
        </w:rPr>
      </w:pPr>
      <w:r w:rsidRPr="00C14FC1">
        <w:rPr>
          <w:rFonts w:cs="David"/>
          <w:sz w:val="26"/>
          <w:szCs w:val="26"/>
          <w:rtl/>
        </w:rPr>
        <w:t>מועד תוקף התחייבות המחלק</w:t>
      </w:r>
      <w:r w:rsidR="00AB7099" w:rsidRPr="00C14FC1">
        <w:rPr>
          <w:rFonts w:cs="David"/>
          <w:sz w:val="26"/>
          <w:szCs w:val="26"/>
          <w:rtl/>
        </w:rPr>
        <w:t xml:space="preserve"> לשילוב המיתקן הקבוע באמת מידה 175(ג)</w:t>
      </w:r>
      <w:r w:rsidR="002F69AD">
        <w:rPr>
          <w:rFonts w:cs="David" w:hint="cs"/>
          <w:sz w:val="26"/>
          <w:szCs w:val="26"/>
          <w:rtl/>
        </w:rPr>
        <w:t>,</w:t>
      </w:r>
      <w:r w:rsidR="00AB7099" w:rsidRPr="00C14FC1">
        <w:rPr>
          <w:rFonts w:cs="David"/>
          <w:sz w:val="26"/>
          <w:szCs w:val="26"/>
          <w:rtl/>
        </w:rPr>
        <w:t xml:space="preserve"> יוארך ב-</w:t>
      </w:r>
      <w:r w:rsidR="00F728BB">
        <w:rPr>
          <w:rFonts w:cs="David" w:hint="cs"/>
          <w:sz w:val="26"/>
          <w:szCs w:val="26"/>
          <w:rtl/>
        </w:rPr>
        <w:t xml:space="preserve"> </w:t>
      </w:r>
      <w:r w:rsidR="00AB7099" w:rsidRPr="00C14FC1">
        <w:rPr>
          <w:rFonts w:cs="David"/>
          <w:sz w:val="26"/>
          <w:szCs w:val="26"/>
          <w:rtl/>
        </w:rPr>
        <w:t>45</w:t>
      </w:r>
      <w:r w:rsidR="00AB7099" w:rsidRPr="00C14FC1">
        <w:rPr>
          <w:rFonts w:cs="David" w:hint="cs"/>
          <w:sz w:val="26"/>
          <w:szCs w:val="26"/>
          <w:rtl/>
        </w:rPr>
        <w:t xml:space="preserve"> </w:t>
      </w:r>
      <w:r w:rsidR="002D099C" w:rsidRPr="00C14FC1">
        <w:rPr>
          <w:rFonts w:cs="David"/>
          <w:sz w:val="26"/>
          <w:szCs w:val="26"/>
          <w:rtl/>
        </w:rPr>
        <w:t>ימים עבור כל מבקש שהגיש בקשת חיבור עד יום 15.</w:t>
      </w:r>
      <w:r w:rsidR="0014375B">
        <w:rPr>
          <w:rFonts w:cs="David" w:hint="cs"/>
          <w:sz w:val="26"/>
          <w:szCs w:val="26"/>
          <w:rtl/>
        </w:rPr>
        <w:t>0</w:t>
      </w:r>
      <w:r w:rsidR="002D099C" w:rsidRPr="00C14FC1">
        <w:rPr>
          <w:rFonts w:cs="David"/>
          <w:sz w:val="26"/>
          <w:szCs w:val="26"/>
          <w:rtl/>
        </w:rPr>
        <w:t>2.2022</w:t>
      </w:r>
      <w:r w:rsidR="002D099C" w:rsidRPr="00C14FC1">
        <w:rPr>
          <w:rFonts w:cs="David" w:hint="cs"/>
          <w:sz w:val="26"/>
          <w:szCs w:val="26"/>
          <w:rtl/>
        </w:rPr>
        <w:t xml:space="preserve"> </w:t>
      </w:r>
      <w:r w:rsidRPr="00C14FC1">
        <w:rPr>
          <w:rFonts w:cs="David"/>
          <w:sz w:val="26"/>
          <w:szCs w:val="26"/>
          <w:rtl/>
        </w:rPr>
        <w:t xml:space="preserve">ושתוקף ההתחייבות שלו לחיבור לא פקע לפני </w:t>
      </w:r>
      <w:r w:rsidR="002D099C" w:rsidRPr="00C14FC1">
        <w:rPr>
          <w:rFonts w:cs="David"/>
          <w:sz w:val="26"/>
          <w:szCs w:val="26"/>
          <w:rtl/>
        </w:rPr>
        <w:t>יום</w:t>
      </w:r>
      <w:r w:rsidRPr="00C14FC1">
        <w:rPr>
          <w:rFonts w:cs="David"/>
          <w:sz w:val="26"/>
          <w:szCs w:val="26"/>
          <w:rtl/>
        </w:rPr>
        <w:t xml:space="preserve"> </w:t>
      </w:r>
      <w:r w:rsidR="0014375B">
        <w:rPr>
          <w:rFonts w:cs="David" w:hint="cs"/>
          <w:sz w:val="26"/>
          <w:szCs w:val="26"/>
          <w:rtl/>
        </w:rPr>
        <w:t>0</w:t>
      </w:r>
      <w:r w:rsidRPr="00C14FC1">
        <w:rPr>
          <w:rFonts w:cs="David"/>
          <w:sz w:val="26"/>
          <w:szCs w:val="26"/>
          <w:rtl/>
        </w:rPr>
        <w:t>1.</w:t>
      </w:r>
      <w:r w:rsidR="0014375B">
        <w:rPr>
          <w:rFonts w:cs="David" w:hint="cs"/>
          <w:sz w:val="26"/>
          <w:szCs w:val="26"/>
          <w:rtl/>
        </w:rPr>
        <w:t>0</w:t>
      </w:r>
      <w:r w:rsidRPr="00C14FC1">
        <w:rPr>
          <w:rFonts w:cs="David"/>
          <w:sz w:val="26"/>
          <w:szCs w:val="26"/>
          <w:rtl/>
        </w:rPr>
        <w:t xml:space="preserve">1.2022. מבקש חיבור שתוקף ההתחייבות שלו לחיבור שלו פקע בין יום </w:t>
      </w:r>
      <w:r w:rsidR="0014375B">
        <w:rPr>
          <w:rFonts w:cs="David" w:hint="cs"/>
          <w:sz w:val="26"/>
          <w:szCs w:val="26"/>
          <w:rtl/>
        </w:rPr>
        <w:t>0</w:t>
      </w:r>
      <w:r w:rsidRPr="00C14FC1">
        <w:rPr>
          <w:rFonts w:cs="David"/>
          <w:sz w:val="26"/>
          <w:szCs w:val="26"/>
          <w:rtl/>
        </w:rPr>
        <w:t>1.</w:t>
      </w:r>
      <w:r w:rsidR="0014375B">
        <w:rPr>
          <w:rFonts w:cs="David" w:hint="cs"/>
          <w:sz w:val="26"/>
          <w:szCs w:val="26"/>
          <w:rtl/>
        </w:rPr>
        <w:t>0</w:t>
      </w:r>
      <w:r w:rsidRPr="00C14FC1">
        <w:rPr>
          <w:rFonts w:cs="David"/>
          <w:sz w:val="26"/>
          <w:szCs w:val="26"/>
          <w:rtl/>
        </w:rPr>
        <w:t xml:space="preserve">1.2022 </w:t>
      </w:r>
      <w:r w:rsidR="002D099C" w:rsidRPr="00C14FC1">
        <w:rPr>
          <w:rFonts w:cs="David"/>
          <w:sz w:val="26"/>
          <w:szCs w:val="26"/>
          <w:rtl/>
        </w:rPr>
        <w:t>ליום</w:t>
      </w:r>
      <w:r w:rsidR="002D099C" w:rsidRPr="00C14FC1">
        <w:rPr>
          <w:rFonts w:cs="David" w:hint="cs"/>
          <w:sz w:val="26"/>
          <w:szCs w:val="26"/>
          <w:rtl/>
        </w:rPr>
        <w:t xml:space="preserve"> </w:t>
      </w:r>
      <w:r w:rsidR="002D099C" w:rsidRPr="00C14FC1">
        <w:rPr>
          <w:rFonts w:cs="David"/>
          <w:sz w:val="26"/>
          <w:szCs w:val="26"/>
          <w:rtl/>
        </w:rPr>
        <w:t>15.</w:t>
      </w:r>
      <w:r w:rsidR="0014375B">
        <w:rPr>
          <w:rFonts w:cs="David" w:hint="cs"/>
          <w:sz w:val="26"/>
          <w:szCs w:val="26"/>
          <w:rtl/>
        </w:rPr>
        <w:t>0</w:t>
      </w:r>
      <w:r w:rsidR="002D099C" w:rsidRPr="00C14FC1">
        <w:rPr>
          <w:rFonts w:cs="David"/>
          <w:sz w:val="26"/>
          <w:szCs w:val="26"/>
          <w:rtl/>
        </w:rPr>
        <w:t>2.202</w:t>
      </w:r>
      <w:r w:rsidR="002D099C" w:rsidRPr="00C14FC1">
        <w:rPr>
          <w:rFonts w:cs="David" w:hint="cs"/>
          <w:sz w:val="26"/>
          <w:szCs w:val="26"/>
          <w:rtl/>
        </w:rPr>
        <w:t xml:space="preserve">2, </w:t>
      </w:r>
      <w:r w:rsidR="002D099C" w:rsidRPr="00C14FC1">
        <w:rPr>
          <w:rFonts w:cs="David"/>
          <w:sz w:val="26"/>
          <w:szCs w:val="26"/>
          <w:rtl/>
        </w:rPr>
        <w:t xml:space="preserve">יהא זכאי לתקופת התחייבות לחיבור של </w:t>
      </w:r>
      <w:r w:rsidR="002D099C" w:rsidRPr="00C14FC1">
        <w:rPr>
          <w:rFonts w:cs="David" w:hint="cs"/>
          <w:sz w:val="26"/>
          <w:szCs w:val="26"/>
          <w:rtl/>
        </w:rPr>
        <w:t xml:space="preserve">45 ימים </w:t>
      </w:r>
      <w:r w:rsidR="00A20479" w:rsidRPr="00C14FC1">
        <w:rPr>
          <w:rFonts w:cs="David"/>
          <w:sz w:val="26"/>
          <w:szCs w:val="26"/>
          <w:rtl/>
        </w:rPr>
        <w:t xml:space="preserve">החל מיום פרסום </w:t>
      </w:r>
      <w:r w:rsidR="002F69AD">
        <w:rPr>
          <w:rFonts w:cs="David" w:hint="cs"/>
          <w:sz w:val="26"/>
          <w:szCs w:val="26"/>
          <w:rtl/>
        </w:rPr>
        <w:t xml:space="preserve">החלטת רשות החשמל </w:t>
      </w:r>
      <w:r w:rsidR="00A20479" w:rsidRPr="00C14FC1">
        <w:rPr>
          <w:rFonts w:cs="David"/>
          <w:sz w:val="26"/>
          <w:szCs w:val="26"/>
          <w:rtl/>
        </w:rPr>
        <w:t>ברשומות</w:t>
      </w:r>
      <w:r w:rsidR="00C14FC1" w:rsidRPr="00C14FC1">
        <w:rPr>
          <w:rFonts w:cs="David" w:hint="cs"/>
          <w:sz w:val="26"/>
          <w:szCs w:val="26"/>
          <w:rtl/>
        </w:rPr>
        <w:t>.</w:t>
      </w:r>
      <w:r w:rsidR="00A20479" w:rsidRPr="00C14FC1">
        <w:rPr>
          <w:rFonts w:cs="David"/>
          <w:sz w:val="26"/>
          <w:szCs w:val="26"/>
          <w:rtl/>
        </w:rPr>
        <w:t xml:space="preserve"> </w:t>
      </w:r>
    </w:p>
    <w:p w:rsidR="00B851F3" w:rsidRDefault="003B6740">
      <w:pPr>
        <w:pStyle w:val="a8"/>
        <w:numPr>
          <w:ilvl w:val="0"/>
          <w:numId w:val="8"/>
        </w:numPr>
        <w:jc w:val="both"/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החלטה זו מ</w:t>
      </w:r>
      <w:r w:rsidR="00A20479" w:rsidRPr="00C14FC1">
        <w:rPr>
          <w:rFonts w:cs="David"/>
          <w:sz w:val="26"/>
          <w:szCs w:val="26"/>
          <w:rtl/>
        </w:rPr>
        <w:t>עדכ</w:t>
      </w:r>
      <w:r>
        <w:rPr>
          <w:rFonts w:cs="David" w:hint="cs"/>
          <w:sz w:val="26"/>
          <w:szCs w:val="26"/>
          <w:rtl/>
        </w:rPr>
        <w:t>נת</w:t>
      </w:r>
      <w:r w:rsidR="00A20479" w:rsidRPr="00C14FC1">
        <w:rPr>
          <w:rFonts w:cs="David"/>
          <w:sz w:val="26"/>
          <w:szCs w:val="26"/>
          <w:rtl/>
        </w:rPr>
        <w:t xml:space="preserve"> </w:t>
      </w:r>
      <w:r>
        <w:rPr>
          <w:rFonts w:cs="David" w:hint="cs"/>
          <w:sz w:val="26"/>
          <w:szCs w:val="26"/>
          <w:rtl/>
        </w:rPr>
        <w:t xml:space="preserve">גם את </w:t>
      </w:r>
      <w:r w:rsidR="00A20479" w:rsidRPr="00C14FC1">
        <w:rPr>
          <w:rFonts w:cs="David"/>
          <w:sz w:val="26"/>
          <w:szCs w:val="26"/>
          <w:rtl/>
        </w:rPr>
        <w:t>סעיף התחולה שבהחלטת רשות</w:t>
      </w:r>
      <w:r>
        <w:rPr>
          <w:rFonts w:cs="David" w:hint="cs"/>
          <w:sz w:val="26"/>
          <w:szCs w:val="26"/>
          <w:rtl/>
        </w:rPr>
        <w:t xml:space="preserve"> החשמל</w:t>
      </w:r>
      <w:r w:rsidR="00A20479" w:rsidRPr="00C14FC1">
        <w:rPr>
          <w:rFonts w:cs="David"/>
          <w:sz w:val="26"/>
          <w:szCs w:val="26"/>
          <w:rtl/>
        </w:rPr>
        <w:t xml:space="preserve"> מס' 60501 מיום </w:t>
      </w:r>
      <w:r w:rsidR="0014375B">
        <w:rPr>
          <w:rFonts w:cs="David" w:hint="cs"/>
          <w:sz w:val="26"/>
          <w:szCs w:val="26"/>
          <w:rtl/>
        </w:rPr>
        <w:t>0</w:t>
      </w:r>
      <w:r w:rsidR="00A20479" w:rsidRPr="00C14FC1">
        <w:rPr>
          <w:rFonts w:cs="David"/>
          <w:sz w:val="26"/>
          <w:szCs w:val="26"/>
          <w:rtl/>
        </w:rPr>
        <w:t>5.</w:t>
      </w:r>
      <w:r w:rsidR="0014375B">
        <w:rPr>
          <w:rFonts w:cs="David" w:hint="cs"/>
          <w:sz w:val="26"/>
          <w:szCs w:val="26"/>
          <w:rtl/>
        </w:rPr>
        <w:t>0</w:t>
      </w:r>
      <w:r w:rsidR="00A20479" w:rsidRPr="00C14FC1">
        <w:rPr>
          <w:rFonts w:cs="David"/>
          <w:sz w:val="26"/>
          <w:szCs w:val="26"/>
          <w:rtl/>
        </w:rPr>
        <w:t>4.2021</w:t>
      </w:r>
      <w:r>
        <w:rPr>
          <w:rFonts w:cs="David" w:hint="cs"/>
          <w:sz w:val="26"/>
          <w:szCs w:val="26"/>
          <w:rtl/>
        </w:rPr>
        <w:t>,</w:t>
      </w:r>
      <w:r w:rsidRPr="00C14FC1">
        <w:rPr>
          <w:rFonts w:cs="David"/>
          <w:sz w:val="26"/>
          <w:szCs w:val="26"/>
          <w:rtl/>
        </w:rPr>
        <w:t xml:space="preserve"> </w:t>
      </w:r>
      <w:r w:rsidR="002D099C" w:rsidRPr="00C14FC1">
        <w:rPr>
          <w:rFonts w:cs="David"/>
          <w:sz w:val="26"/>
          <w:szCs w:val="26"/>
          <w:rtl/>
        </w:rPr>
        <w:t>כך</w:t>
      </w:r>
      <w:r w:rsidR="00196D9E" w:rsidRPr="00C14FC1">
        <w:rPr>
          <w:rFonts w:cs="David"/>
          <w:sz w:val="26"/>
          <w:szCs w:val="26"/>
          <w:rtl/>
        </w:rPr>
        <w:t xml:space="preserve"> </w:t>
      </w:r>
      <w:r w:rsidR="002D099C" w:rsidRPr="00C14FC1">
        <w:rPr>
          <w:rFonts w:cs="David"/>
          <w:sz w:val="26"/>
          <w:szCs w:val="26"/>
          <w:rtl/>
        </w:rPr>
        <w:t>שהסעיפים המפורטים להלן יחולו גם על הליכים תחרותיים שפורסמו טרם קבלת החלטה 60501</w:t>
      </w:r>
      <w:r w:rsidR="002D099C" w:rsidRPr="00C14FC1">
        <w:rPr>
          <w:rFonts w:cs="David" w:hint="cs"/>
          <w:sz w:val="26"/>
          <w:szCs w:val="26"/>
          <w:rtl/>
        </w:rPr>
        <w:t xml:space="preserve">, </w:t>
      </w:r>
      <w:r w:rsidR="002D099C" w:rsidRPr="00C14FC1">
        <w:rPr>
          <w:rFonts w:cs="David"/>
          <w:sz w:val="26"/>
          <w:szCs w:val="26"/>
          <w:rtl/>
        </w:rPr>
        <w:t xml:space="preserve">ובתנאי שהמועד המחייב שלהם הוא לאחר </w:t>
      </w:r>
      <w:r w:rsidR="0014375B">
        <w:rPr>
          <w:rFonts w:cs="David" w:hint="cs"/>
          <w:sz w:val="26"/>
          <w:szCs w:val="26"/>
          <w:rtl/>
        </w:rPr>
        <w:t>0</w:t>
      </w:r>
      <w:r w:rsidR="002D099C" w:rsidRPr="00C14FC1">
        <w:rPr>
          <w:rFonts w:cs="David"/>
          <w:sz w:val="26"/>
          <w:szCs w:val="26"/>
          <w:rtl/>
        </w:rPr>
        <w:t>1.</w:t>
      </w:r>
      <w:r w:rsidR="0014375B">
        <w:rPr>
          <w:rFonts w:cs="David" w:hint="cs"/>
          <w:sz w:val="26"/>
          <w:szCs w:val="26"/>
          <w:rtl/>
        </w:rPr>
        <w:t>0</w:t>
      </w:r>
      <w:r w:rsidR="002D099C" w:rsidRPr="00C14FC1">
        <w:rPr>
          <w:rFonts w:cs="David"/>
          <w:sz w:val="26"/>
          <w:szCs w:val="26"/>
          <w:rtl/>
        </w:rPr>
        <w:t>1.20</w:t>
      </w:r>
      <w:r w:rsidR="002D099C" w:rsidRPr="00C14FC1">
        <w:rPr>
          <w:rFonts w:cs="David" w:hint="cs"/>
          <w:sz w:val="26"/>
          <w:szCs w:val="26"/>
          <w:rtl/>
        </w:rPr>
        <w:t>2</w:t>
      </w:r>
      <w:r w:rsidR="002D099C" w:rsidRPr="00C14FC1">
        <w:rPr>
          <w:rFonts w:cs="David"/>
          <w:sz w:val="26"/>
          <w:szCs w:val="26"/>
          <w:rtl/>
        </w:rPr>
        <w:t>2 ושטרם קיבלו אישור עמידה בתנאים לסנכרון</w:t>
      </w:r>
      <w:r w:rsidR="002D099C" w:rsidRPr="00C14FC1">
        <w:rPr>
          <w:rFonts w:cs="David" w:hint="cs"/>
          <w:sz w:val="26"/>
          <w:szCs w:val="26"/>
          <w:rtl/>
        </w:rPr>
        <w:t xml:space="preserve">: </w:t>
      </w:r>
      <w:r w:rsidR="00A20479" w:rsidRPr="00C14FC1">
        <w:rPr>
          <w:rFonts w:cs="David"/>
          <w:sz w:val="26"/>
          <w:szCs w:val="26"/>
          <w:rtl/>
        </w:rPr>
        <w:t>סעיף (ג) לאמת מידה</w:t>
      </w:r>
      <w:r w:rsidR="00A20479" w:rsidRPr="00C14FC1">
        <w:rPr>
          <w:rFonts w:cs="David" w:hint="cs"/>
          <w:sz w:val="26"/>
          <w:szCs w:val="26"/>
          <w:rtl/>
        </w:rPr>
        <w:t xml:space="preserve"> </w:t>
      </w:r>
      <w:r w:rsidR="00A20479" w:rsidRPr="00C14FC1">
        <w:rPr>
          <w:rFonts w:cs="David"/>
          <w:sz w:val="26"/>
          <w:szCs w:val="26"/>
          <w:rtl/>
        </w:rPr>
        <w:t>220</w:t>
      </w:r>
      <w:r w:rsidR="00A20479" w:rsidRPr="00C14FC1">
        <w:rPr>
          <w:rFonts w:cs="David" w:hint="cs"/>
          <w:sz w:val="26"/>
          <w:szCs w:val="26"/>
          <w:rtl/>
        </w:rPr>
        <w:t xml:space="preserve">, </w:t>
      </w:r>
      <w:r w:rsidR="00A20479" w:rsidRPr="00C14FC1">
        <w:rPr>
          <w:rFonts w:cs="David"/>
          <w:sz w:val="26"/>
          <w:szCs w:val="26"/>
          <w:rtl/>
        </w:rPr>
        <w:t>סעיף (ד) לאמת מידה 220א וסעיף(א3</w:t>
      </w:r>
      <w:r w:rsidR="00A20479" w:rsidRPr="00C14FC1">
        <w:rPr>
          <w:rFonts w:cs="David" w:hint="cs"/>
          <w:sz w:val="26"/>
          <w:szCs w:val="26"/>
          <w:rtl/>
        </w:rPr>
        <w:t>)</w:t>
      </w:r>
      <w:r w:rsidR="00A20479" w:rsidRPr="00C14FC1">
        <w:rPr>
          <w:rFonts w:cs="David"/>
          <w:sz w:val="26"/>
          <w:szCs w:val="26"/>
          <w:rtl/>
        </w:rPr>
        <w:t xml:space="preserve"> לאמת מידה 220</w:t>
      </w:r>
      <w:r w:rsidR="00A20479" w:rsidRPr="00C14FC1">
        <w:rPr>
          <w:rFonts w:cs="David" w:hint="cs"/>
          <w:sz w:val="26"/>
          <w:szCs w:val="26"/>
          <w:rtl/>
        </w:rPr>
        <w:t>ב.</w:t>
      </w:r>
    </w:p>
    <w:p w:rsidR="00B851F3" w:rsidRPr="00026E3B" w:rsidRDefault="003B6740" w:rsidP="00026E3B">
      <w:pPr>
        <w:pStyle w:val="a8"/>
        <w:numPr>
          <w:ilvl w:val="0"/>
          <w:numId w:val="8"/>
        </w:numPr>
        <w:jc w:val="both"/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 xml:space="preserve">עדכון המועדים לפי </w:t>
      </w:r>
      <w:r w:rsidR="00A20479" w:rsidRPr="00C14FC1">
        <w:rPr>
          <w:rFonts w:cs="David"/>
          <w:sz w:val="26"/>
          <w:szCs w:val="26"/>
          <w:rtl/>
        </w:rPr>
        <w:t>ה</w:t>
      </w:r>
      <w:r>
        <w:rPr>
          <w:rFonts w:cs="David" w:hint="cs"/>
          <w:sz w:val="26"/>
          <w:szCs w:val="26"/>
          <w:rtl/>
        </w:rPr>
        <w:t>ודעה</w:t>
      </w:r>
      <w:r w:rsidR="00A20479" w:rsidRPr="00C14FC1">
        <w:rPr>
          <w:rFonts w:cs="David"/>
          <w:sz w:val="26"/>
          <w:szCs w:val="26"/>
          <w:rtl/>
        </w:rPr>
        <w:t xml:space="preserve"> זו מחלי</w:t>
      </w:r>
      <w:r>
        <w:rPr>
          <w:rFonts w:cs="David" w:hint="cs"/>
          <w:sz w:val="26"/>
          <w:szCs w:val="26"/>
          <w:rtl/>
        </w:rPr>
        <w:t>ף</w:t>
      </w:r>
      <w:r w:rsidR="00A20479" w:rsidRPr="00C14FC1">
        <w:rPr>
          <w:rFonts w:cs="David"/>
          <w:sz w:val="26"/>
          <w:szCs w:val="26"/>
          <w:rtl/>
        </w:rPr>
        <w:t xml:space="preserve"> את</w:t>
      </w:r>
      <w:r w:rsidR="00A20479" w:rsidRPr="00C14FC1">
        <w:rPr>
          <w:rFonts w:cs="David" w:hint="cs"/>
          <w:sz w:val="26"/>
          <w:szCs w:val="26"/>
          <w:rtl/>
        </w:rPr>
        <w:t xml:space="preserve"> </w:t>
      </w:r>
      <w:r>
        <w:rPr>
          <w:rFonts w:cs="David" w:hint="cs"/>
          <w:sz w:val="26"/>
          <w:szCs w:val="26"/>
          <w:rtl/>
        </w:rPr>
        <w:t xml:space="preserve">עדכון המועדים לפי </w:t>
      </w:r>
      <w:r w:rsidR="00A20479" w:rsidRPr="00C14FC1">
        <w:rPr>
          <w:rFonts w:cs="David" w:hint="cs"/>
          <w:sz w:val="26"/>
          <w:szCs w:val="26"/>
          <w:rtl/>
        </w:rPr>
        <w:t>החלט</w:t>
      </w:r>
      <w:r>
        <w:rPr>
          <w:rFonts w:cs="David" w:hint="cs"/>
          <w:sz w:val="26"/>
          <w:szCs w:val="26"/>
          <w:rtl/>
        </w:rPr>
        <w:t xml:space="preserve">ת רשות </w:t>
      </w:r>
      <w:r w:rsidR="00A20479" w:rsidRPr="00C14FC1">
        <w:rPr>
          <w:rFonts w:cs="David" w:hint="cs"/>
          <w:sz w:val="26"/>
          <w:szCs w:val="26"/>
          <w:rtl/>
        </w:rPr>
        <w:t>ה</w:t>
      </w:r>
      <w:r>
        <w:rPr>
          <w:rFonts w:cs="David" w:hint="cs"/>
          <w:sz w:val="26"/>
          <w:szCs w:val="26"/>
          <w:rtl/>
        </w:rPr>
        <w:t>חשמל מס'</w:t>
      </w:r>
      <w:r w:rsidR="00A20479" w:rsidRPr="00C14FC1">
        <w:rPr>
          <w:rFonts w:cs="David" w:hint="cs"/>
          <w:sz w:val="26"/>
          <w:szCs w:val="26"/>
          <w:rtl/>
        </w:rPr>
        <w:t xml:space="preserve"> </w:t>
      </w:r>
      <w:r w:rsidR="00A20479" w:rsidRPr="00C14FC1">
        <w:rPr>
          <w:rFonts w:cs="David"/>
          <w:sz w:val="26"/>
          <w:szCs w:val="26"/>
          <w:rtl/>
        </w:rPr>
        <w:t>57603</w:t>
      </w:r>
      <w:r w:rsidR="00A20479" w:rsidRPr="00C14FC1">
        <w:rPr>
          <w:rFonts w:cs="David" w:hint="cs"/>
          <w:sz w:val="26"/>
          <w:szCs w:val="26"/>
          <w:rtl/>
        </w:rPr>
        <w:t xml:space="preserve"> </w:t>
      </w:r>
      <w:r w:rsidR="00A20479" w:rsidRPr="00C14FC1">
        <w:rPr>
          <w:rFonts w:cs="David"/>
          <w:sz w:val="26"/>
          <w:szCs w:val="26"/>
          <w:rtl/>
        </w:rPr>
        <w:t>מיום 27.</w:t>
      </w:r>
      <w:r w:rsidR="0014375B">
        <w:rPr>
          <w:rFonts w:cs="David" w:hint="cs"/>
          <w:sz w:val="26"/>
          <w:szCs w:val="26"/>
          <w:rtl/>
        </w:rPr>
        <w:t>0</w:t>
      </w:r>
      <w:r w:rsidR="00A20479" w:rsidRPr="00C14FC1">
        <w:rPr>
          <w:rFonts w:cs="David"/>
          <w:sz w:val="26"/>
          <w:szCs w:val="26"/>
          <w:rtl/>
        </w:rPr>
        <w:t>1.2020</w:t>
      </w:r>
      <w:r>
        <w:rPr>
          <w:rFonts w:cs="David" w:hint="cs"/>
          <w:sz w:val="26"/>
          <w:szCs w:val="26"/>
          <w:rtl/>
        </w:rPr>
        <w:t>,</w:t>
      </w:r>
      <w:r w:rsidR="00A20479" w:rsidRPr="00C14FC1">
        <w:rPr>
          <w:rFonts w:cs="David" w:hint="cs"/>
          <w:sz w:val="26"/>
          <w:szCs w:val="26"/>
          <w:rtl/>
        </w:rPr>
        <w:t xml:space="preserve"> </w:t>
      </w:r>
      <w:r w:rsidR="00A20479" w:rsidRPr="00C14FC1">
        <w:rPr>
          <w:rFonts w:cs="David"/>
          <w:sz w:val="26"/>
          <w:szCs w:val="26"/>
          <w:rtl/>
        </w:rPr>
        <w:t>לעניין האפשרות להארכת מועדים בתוספת</w:t>
      </w:r>
      <w:r w:rsidR="00A20479" w:rsidRPr="00C14FC1">
        <w:rPr>
          <w:rFonts w:cs="David" w:hint="cs"/>
          <w:sz w:val="26"/>
          <w:szCs w:val="26"/>
          <w:rtl/>
        </w:rPr>
        <w:t xml:space="preserve"> </w:t>
      </w:r>
      <w:r w:rsidR="00A20479" w:rsidRPr="00C14FC1">
        <w:rPr>
          <w:rFonts w:cs="David"/>
          <w:sz w:val="26"/>
          <w:szCs w:val="26"/>
          <w:rtl/>
        </w:rPr>
        <w:t>ערבות</w:t>
      </w:r>
      <w:r w:rsidR="00026E3B">
        <w:rPr>
          <w:rFonts w:cs="David" w:hint="cs"/>
          <w:sz w:val="26"/>
          <w:szCs w:val="26"/>
          <w:rtl/>
        </w:rPr>
        <w:t xml:space="preserve"> </w:t>
      </w:r>
      <w:r w:rsidR="00026E3B" w:rsidRPr="00026E3B">
        <w:rPr>
          <w:rFonts w:cs="David" w:hint="cs"/>
          <w:sz w:val="26"/>
          <w:szCs w:val="26"/>
          <w:rtl/>
        </w:rPr>
        <w:t>ו</w:t>
      </w:r>
      <w:r w:rsidR="00026E3B">
        <w:rPr>
          <w:rFonts w:cs="David" w:hint="cs"/>
          <w:sz w:val="26"/>
          <w:szCs w:val="26"/>
          <w:rtl/>
        </w:rPr>
        <w:t xml:space="preserve">/או </w:t>
      </w:r>
      <w:r w:rsidR="00026E3B" w:rsidRPr="00026E3B">
        <w:rPr>
          <w:rFonts w:cs="David" w:hint="cs"/>
          <w:sz w:val="26"/>
          <w:szCs w:val="26"/>
          <w:rtl/>
        </w:rPr>
        <w:t>החלט</w:t>
      </w:r>
      <w:r w:rsidR="00026E3B">
        <w:rPr>
          <w:rFonts w:cs="David" w:hint="cs"/>
          <w:sz w:val="26"/>
          <w:szCs w:val="26"/>
          <w:rtl/>
        </w:rPr>
        <w:t>ו</w:t>
      </w:r>
      <w:r w:rsidR="00026E3B" w:rsidRPr="00026E3B">
        <w:rPr>
          <w:rFonts w:cs="David" w:hint="cs"/>
          <w:sz w:val="26"/>
          <w:szCs w:val="26"/>
          <w:rtl/>
        </w:rPr>
        <w:t>ת הארכה של קמ"ט אנרגיה שהתקבל</w:t>
      </w:r>
      <w:r w:rsidR="00026E3B">
        <w:rPr>
          <w:rFonts w:cs="David" w:hint="cs"/>
          <w:sz w:val="26"/>
          <w:szCs w:val="26"/>
          <w:rtl/>
        </w:rPr>
        <w:t>ו</w:t>
      </w:r>
      <w:r w:rsidR="00026E3B" w:rsidRPr="00026E3B">
        <w:rPr>
          <w:rFonts w:cs="David" w:hint="cs"/>
          <w:sz w:val="26"/>
          <w:szCs w:val="26"/>
          <w:rtl/>
        </w:rPr>
        <w:t xml:space="preserve"> בהתאמה</w:t>
      </w:r>
      <w:r w:rsidR="00A20479" w:rsidRPr="00026E3B">
        <w:rPr>
          <w:rFonts w:cs="David"/>
          <w:sz w:val="26"/>
          <w:szCs w:val="26"/>
          <w:rtl/>
        </w:rPr>
        <w:t xml:space="preserve">. </w:t>
      </w:r>
    </w:p>
    <w:p w:rsidR="00A20479" w:rsidRPr="00C14FC1" w:rsidRDefault="00B851F3" w:rsidP="002F2636">
      <w:pPr>
        <w:pStyle w:val="a8"/>
        <w:numPr>
          <w:ilvl w:val="0"/>
          <w:numId w:val="8"/>
        </w:numPr>
        <w:jc w:val="both"/>
        <w:rPr>
          <w:rFonts w:cs="David"/>
          <w:sz w:val="26"/>
          <w:szCs w:val="26"/>
        </w:rPr>
      </w:pPr>
      <w:r w:rsidRPr="00B851F3">
        <w:rPr>
          <w:rFonts w:cs="David" w:hint="cs"/>
          <w:b/>
          <w:bCs/>
          <w:sz w:val="26"/>
          <w:szCs w:val="26"/>
          <w:u w:val="single"/>
          <w:rtl/>
        </w:rPr>
        <w:t>תחילה</w:t>
      </w:r>
      <w:r w:rsidR="00A20479" w:rsidRPr="00C14FC1">
        <w:rPr>
          <w:rFonts w:cs="David" w:hint="cs"/>
          <w:sz w:val="26"/>
          <w:szCs w:val="26"/>
          <w:rtl/>
        </w:rPr>
        <w:t xml:space="preserve"> - </w:t>
      </w:r>
      <w:r w:rsidR="00A20479" w:rsidRPr="00C14FC1">
        <w:rPr>
          <w:rFonts w:cs="David"/>
          <w:sz w:val="26"/>
          <w:szCs w:val="26"/>
          <w:rtl/>
        </w:rPr>
        <w:t xml:space="preserve">החל מיום </w:t>
      </w:r>
      <w:r w:rsidR="0014375B">
        <w:rPr>
          <w:rFonts w:cs="David" w:hint="cs"/>
          <w:sz w:val="26"/>
          <w:szCs w:val="26"/>
          <w:rtl/>
        </w:rPr>
        <w:t>0</w:t>
      </w:r>
      <w:r w:rsidR="00A20479" w:rsidRPr="00C14FC1">
        <w:rPr>
          <w:rFonts w:cs="David"/>
          <w:sz w:val="26"/>
          <w:szCs w:val="26"/>
          <w:rtl/>
        </w:rPr>
        <w:t>1.</w:t>
      </w:r>
      <w:r w:rsidR="0014375B">
        <w:rPr>
          <w:rFonts w:cs="David" w:hint="cs"/>
          <w:sz w:val="26"/>
          <w:szCs w:val="26"/>
          <w:rtl/>
        </w:rPr>
        <w:t>0</w:t>
      </w:r>
      <w:r w:rsidR="00A20479" w:rsidRPr="00C14FC1">
        <w:rPr>
          <w:rFonts w:cs="David"/>
          <w:sz w:val="26"/>
          <w:szCs w:val="26"/>
          <w:rtl/>
        </w:rPr>
        <w:t>1.2022</w:t>
      </w:r>
      <w:r w:rsidR="002F2636" w:rsidRPr="00C14FC1">
        <w:rPr>
          <w:rFonts w:cs="David" w:hint="cs"/>
          <w:sz w:val="26"/>
          <w:szCs w:val="26"/>
          <w:rtl/>
        </w:rPr>
        <w:t>,</w:t>
      </w:r>
      <w:r w:rsidR="00A20479" w:rsidRPr="00C14FC1">
        <w:rPr>
          <w:rFonts w:cs="David"/>
          <w:sz w:val="26"/>
          <w:szCs w:val="26"/>
          <w:rtl/>
        </w:rPr>
        <w:t xml:space="preserve"> ב</w:t>
      </w:r>
      <w:r w:rsidR="003B6740">
        <w:rPr>
          <w:rFonts w:cs="David" w:hint="cs"/>
          <w:sz w:val="26"/>
          <w:szCs w:val="26"/>
          <w:rtl/>
        </w:rPr>
        <w:t>התאם ל</w:t>
      </w:r>
      <w:r w:rsidR="00A20479" w:rsidRPr="00C14FC1">
        <w:rPr>
          <w:rFonts w:cs="David"/>
          <w:sz w:val="26"/>
          <w:szCs w:val="26"/>
          <w:rtl/>
        </w:rPr>
        <w:t xml:space="preserve">נוסח הסופי </w:t>
      </w:r>
      <w:r w:rsidR="003B6740">
        <w:rPr>
          <w:rFonts w:cs="David" w:hint="cs"/>
          <w:sz w:val="26"/>
          <w:szCs w:val="26"/>
          <w:rtl/>
        </w:rPr>
        <w:t xml:space="preserve">של החלטת רשות החשמל </w:t>
      </w:r>
      <w:r w:rsidR="00A20479" w:rsidRPr="00C14FC1">
        <w:rPr>
          <w:rFonts w:cs="David"/>
          <w:sz w:val="26"/>
          <w:szCs w:val="26"/>
          <w:rtl/>
        </w:rPr>
        <w:t>כפי שיפורסם ברשומות.</w:t>
      </w:r>
    </w:p>
    <w:p w:rsidR="001E7A76" w:rsidRDefault="00C14FC1" w:rsidP="001E7A76">
      <w:pPr>
        <w:jc w:val="both"/>
        <w:rPr>
          <w:rFonts w:cs="David"/>
          <w:sz w:val="26"/>
          <w:szCs w:val="26"/>
        </w:rPr>
      </w:pPr>
      <w:r w:rsidRPr="00C14FC1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768985</wp:posOffset>
            </wp:positionH>
            <wp:positionV relativeFrom="paragraph">
              <wp:posOffset>1676400</wp:posOffset>
            </wp:positionV>
            <wp:extent cx="1579245" cy="963295"/>
            <wp:effectExtent l="0" t="0" r="1905" b="8255"/>
            <wp:wrapNone/>
            <wp:docPr id="717" name="Picture 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" name="Picture 71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57FC">
        <w:rPr>
          <w:rFonts w:cs="David" w:hint="cs"/>
          <w:sz w:val="26"/>
          <w:szCs w:val="26"/>
          <w:rtl/>
        </w:rPr>
        <w:t>ניתן לצפות ב</w:t>
      </w:r>
      <w:r w:rsidRPr="00C14FC1">
        <w:rPr>
          <w:rFonts w:cs="David" w:hint="cs"/>
          <w:sz w:val="26"/>
          <w:szCs w:val="26"/>
          <w:rtl/>
        </w:rPr>
        <w:t xml:space="preserve">ביאורים וטבלת תאריכים </w:t>
      </w:r>
      <w:r w:rsidR="00897D34">
        <w:rPr>
          <w:rFonts w:cs="David" w:hint="cs"/>
          <w:sz w:val="26"/>
          <w:szCs w:val="26"/>
          <w:rtl/>
        </w:rPr>
        <w:t>נספחים א'</w:t>
      </w:r>
      <w:r w:rsidR="00BF57FC">
        <w:rPr>
          <w:rFonts w:cs="David" w:hint="cs"/>
          <w:sz w:val="26"/>
          <w:szCs w:val="26"/>
          <w:rtl/>
        </w:rPr>
        <w:t>, ב'</w:t>
      </w:r>
      <w:r w:rsidR="00897D34">
        <w:rPr>
          <w:rFonts w:cs="David" w:hint="cs"/>
          <w:sz w:val="26"/>
          <w:szCs w:val="26"/>
          <w:rtl/>
        </w:rPr>
        <w:t xml:space="preserve"> ו- </w:t>
      </w:r>
      <w:r w:rsidR="00BF57FC">
        <w:rPr>
          <w:rFonts w:cs="David" w:hint="cs"/>
          <w:sz w:val="26"/>
          <w:szCs w:val="26"/>
          <w:rtl/>
        </w:rPr>
        <w:t>ג</w:t>
      </w:r>
      <w:r w:rsidR="00897D34">
        <w:rPr>
          <w:rFonts w:cs="David" w:hint="cs"/>
          <w:sz w:val="26"/>
          <w:szCs w:val="26"/>
          <w:rtl/>
        </w:rPr>
        <w:t xml:space="preserve">' להודעה זו בפרסומי </w:t>
      </w:r>
      <w:r w:rsidR="001E7A76">
        <w:rPr>
          <w:rFonts w:cs="David" w:hint="cs"/>
          <w:sz w:val="26"/>
          <w:szCs w:val="26"/>
          <w:rtl/>
        </w:rPr>
        <w:t>רשות החשמל</w:t>
      </w:r>
      <w:r w:rsidR="00BF57FC">
        <w:rPr>
          <w:rFonts w:cs="David" w:hint="cs"/>
          <w:sz w:val="26"/>
          <w:szCs w:val="26"/>
          <w:rtl/>
        </w:rPr>
        <w:t xml:space="preserve"> בקישור</w:t>
      </w:r>
      <w:r w:rsidR="00897D34">
        <w:rPr>
          <w:rFonts w:cs="David" w:hint="cs"/>
          <w:sz w:val="26"/>
          <w:szCs w:val="26"/>
          <w:rtl/>
        </w:rPr>
        <w:t xml:space="preserve"> </w:t>
      </w:r>
      <w:hyperlink r:id="rId12" w:history="1">
        <w:r w:rsidR="001E7A76" w:rsidRPr="00162120">
          <w:rPr>
            <w:rStyle w:val="Hyperlink"/>
            <w:rFonts w:cs="David"/>
            <w:sz w:val="26"/>
            <w:szCs w:val="26"/>
          </w:rPr>
          <w:t>https://www.gov.il/he/departments/news/press_omikron</w:t>
        </w:r>
      </w:hyperlink>
    </w:p>
    <w:p w:rsidR="00B851F3" w:rsidRDefault="00B851F3" w:rsidP="001E7A76">
      <w:pPr>
        <w:jc w:val="both"/>
        <w:rPr>
          <w:rFonts w:cs="David"/>
          <w:sz w:val="26"/>
          <w:szCs w:val="26"/>
        </w:rPr>
      </w:pPr>
    </w:p>
    <w:p w:rsidR="001E7A76" w:rsidRDefault="001E7A76" w:rsidP="001E7A76">
      <w:pPr>
        <w:jc w:val="both"/>
        <w:rPr>
          <w:rFonts w:cs="David"/>
          <w:sz w:val="26"/>
          <w:szCs w:val="26"/>
        </w:rPr>
      </w:pPr>
    </w:p>
    <w:sectPr w:rsidR="001E7A76" w:rsidSect="00831A47">
      <w:headerReference w:type="default" r:id="rId13"/>
      <w:footerReference w:type="default" r:id="rId14"/>
      <w:pgSz w:w="11906" w:h="16838"/>
      <w:pgMar w:top="1843" w:right="1800" w:bottom="1440" w:left="1800" w:header="708" w:footer="4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803" w:rsidRDefault="00234803" w:rsidP="00831A47">
      <w:pPr>
        <w:spacing w:after="0" w:line="240" w:lineRule="auto"/>
      </w:pPr>
      <w:r>
        <w:separator/>
      </w:r>
    </w:p>
  </w:endnote>
  <w:endnote w:type="continuationSeparator" w:id="0">
    <w:p w:rsidR="00234803" w:rsidRDefault="00234803" w:rsidP="0083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615" w:rsidRDefault="00A84615" w:rsidP="00A84615">
    <w:pPr>
      <w:spacing w:after="0" w:line="240" w:lineRule="auto"/>
    </w:pPr>
  </w:p>
  <w:tbl>
    <w:tblPr>
      <w:bidiVisual/>
      <w:tblW w:w="12050" w:type="dxa"/>
      <w:tblInd w:w="-1860" w:type="dxa"/>
      <w:tblLayout w:type="fixed"/>
      <w:tblLook w:val="0000" w:firstRow="0" w:lastRow="0" w:firstColumn="0" w:lastColumn="0" w:noHBand="0" w:noVBand="0"/>
    </w:tblPr>
    <w:tblGrid>
      <w:gridCol w:w="4024"/>
      <w:gridCol w:w="3911"/>
      <w:gridCol w:w="4115"/>
    </w:tblGrid>
    <w:tr w:rsidR="00831A47" w:rsidRPr="00110CDE" w:rsidTr="00831A47">
      <w:trPr>
        <w:trHeight w:val="954"/>
      </w:trPr>
      <w:tc>
        <w:tcPr>
          <w:tcW w:w="4024" w:type="dxa"/>
          <w:tcBorders>
            <w:top w:val="single" w:sz="4" w:space="0" w:color="auto"/>
          </w:tcBorders>
        </w:tcPr>
        <w:p w:rsidR="00831A47" w:rsidRPr="00110CDE" w:rsidRDefault="00831A47" w:rsidP="00831A47">
          <w:pPr>
            <w:pStyle w:val="a3"/>
            <w:spacing w:before="60" w:line="360" w:lineRule="auto"/>
            <w:jc w:val="center"/>
            <w:rPr>
              <w:rFonts w:cs="David"/>
              <w:rtl/>
            </w:rPr>
          </w:pPr>
          <w:r w:rsidRPr="00110CDE">
            <w:rPr>
              <w:rFonts w:cs="David"/>
              <w:rtl/>
            </w:rPr>
            <w:t xml:space="preserve">ת.ד </w:t>
          </w:r>
          <w:r w:rsidRPr="00110CDE">
            <w:rPr>
              <w:rFonts w:cs="David"/>
            </w:rPr>
            <w:t>20</w:t>
          </w:r>
          <w:r w:rsidRPr="00110CDE">
            <w:rPr>
              <w:rFonts w:cs="David"/>
              <w:rtl/>
            </w:rPr>
            <w:t xml:space="preserve"> </w:t>
          </w:r>
          <w:r w:rsidRPr="00110CDE">
            <w:rPr>
              <w:rFonts w:cs="David" w:hint="cs"/>
              <w:rtl/>
            </w:rPr>
            <w:t xml:space="preserve">בית אל </w:t>
          </w:r>
          <w:r w:rsidRPr="00110CDE">
            <w:rPr>
              <w:rFonts w:cs="David"/>
              <w:rtl/>
            </w:rPr>
            <w:t xml:space="preserve">, </w:t>
          </w:r>
          <w:r w:rsidRPr="00110CDE">
            <w:rPr>
              <w:rFonts w:cs="David" w:hint="cs"/>
              <w:rtl/>
            </w:rPr>
            <w:t>90631</w:t>
          </w:r>
          <w:r>
            <w:rPr>
              <w:rFonts w:cs="David" w:hint="cs"/>
              <w:rtl/>
            </w:rPr>
            <w:t>00</w:t>
          </w:r>
        </w:p>
        <w:p w:rsidR="00831A47" w:rsidRPr="00110CDE" w:rsidRDefault="00831A47" w:rsidP="00831A47">
          <w:pPr>
            <w:pStyle w:val="a3"/>
            <w:tabs>
              <w:tab w:val="center" w:pos="1904"/>
              <w:tab w:val="right" w:pos="3808"/>
            </w:tabs>
            <w:spacing w:before="60" w:line="360" w:lineRule="auto"/>
            <w:rPr>
              <w:rFonts w:ascii="Times New Roman" w:hAnsi="Times New Roman" w:cs="Times New Roman"/>
              <w:rtl/>
            </w:rPr>
          </w:pPr>
          <w:r>
            <w:rPr>
              <w:rFonts w:cs="David"/>
            </w:rPr>
            <w:tab/>
          </w:r>
          <w:r w:rsidRPr="00110CDE">
            <w:rPr>
              <w:rFonts w:cs="David"/>
            </w:rPr>
            <w:t xml:space="preserve"> </w:t>
          </w:r>
          <w:r w:rsidRPr="00110CDE">
            <w:rPr>
              <w:rFonts w:ascii="Times New Roman" w:hAnsi="Times New Roman" w:cs="Times New Roman"/>
            </w:rPr>
            <w:sym w:font="Wingdings" w:char="F028"/>
          </w:r>
          <w:r w:rsidRPr="00110CDE">
            <w:rPr>
              <w:rFonts w:ascii="Times New Roman" w:hAnsi="Times New Roman" w:cs="Times New Roman"/>
            </w:rPr>
            <w:t>972-2-9977097</w:t>
          </w:r>
          <w:r w:rsidRPr="00110CDE">
            <w:rPr>
              <w:rFonts w:ascii="Times New Roman" w:hAnsi="Times New Roman" w:cs="Times New Roman"/>
            </w:rPr>
            <w:sym w:font="Wingdings" w:char="F028"/>
          </w:r>
          <w:r>
            <w:rPr>
              <w:rFonts w:ascii="Times New Roman" w:hAnsi="Times New Roman" w:cs="Times New Roman"/>
            </w:rPr>
            <w:tab/>
          </w:r>
        </w:p>
      </w:tc>
      <w:tc>
        <w:tcPr>
          <w:tcW w:w="3911" w:type="dxa"/>
          <w:tcBorders>
            <w:top w:val="single" w:sz="4" w:space="0" w:color="auto"/>
          </w:tcBorders>
        </w:tcPr>
        <w:p w:rsidR="00831A47" w:rsidRPr="00110CDE" w:rsidRDefault="00831A47" w:rsidP="00831A47">
          <w:pPr>
            <w:pStyle w:val="a3"/>
            <w:spacing w:before="60" w:line="360" w:lineRule="auto"/>
            <w:jc w:val="center"/>
            <w:rPr>
              <w:rFonts w:ascii="Angsana New" w:hAnsi="Angsana New" w:cs="David"/>
              <w:rtl/>
            </w:rPr>
          </w:pPr>
          <w:r w:rsidRPr="00110CDE">
            <w:rPr>
              <w:rFonts w:cs="David"/>
            </w:rPr>
            <w:sym w:font="Webdings" w:char="F09A"/>
          </w:r>
          <w:r>
            <w:rPr>
              <w:rFonts w:ascii="Times New Roman" w:hAnsi="Times New Roman" w:cs="Times New Roman"/>
            </w:rPr>
            <w:t>energy.yosh@gmail.com</w:t>
          </w:r>
          <w:r w:rsidRPr="00110CDE">
            <w:rPr>
              <w:rFonts w:ascii="Angsana New" w:hAnsi="Angsana New" w:cs="David"/>
            </w:rPr>
            <w:sym w:font="Webdings" w:char="F09A"/>
          </w:r>
          <w:r w:rsidRPr="00110CDE">
            <w:rPr>
              <w:rFonts w:ascii="Angsana New" w:hAnsi="Angsana New" w:cs="David"/>
            </w:rPr>
            <w:t xml:space="preserve"> </w:t>
          </w:r>
        </w:p>
        <w:p w:rsidR="00831A47" w:rsidRPr="00110CDE" w:rsidRDefault="00831A47" w:rsidP="00831A47">
          <w:pPr>
            <w:pStyle w:val="a3"/>
            <w:spacing w:before="60" w:line="360" w:lineRule="auto"/>
            <w:jc w:val="center"/>
            <w:rPr>
              <w:rFonts w:cs="David"/>
              <w:rtl/>
            </w:rPr>
          </w:pPr>
          <w:r w:rsidRPr="00110CDE">
            <w:rPr>
              <w:rFonts w:ascii="Angsana New" w:hAnsi="Angsana New" w:cs="David"/>
            </w:rPr>
            <w:sym w:font="Wingdings" w:char="F03A"/>
          </w:r>
          <w:r>
            <w:rPr>
              <w:rFonts w:ascii="Angsana New" w:hAnsi="Angsana New" w:cs="David"/>
            </w:rPr>
            <w:t xml:space="preserve"> </w:t>
          </w:r>
          <w:r w:rsidRPr="00110CDE">
            <w:rPr>
              <w:rFonts w:ascii="Angsana New" w:hAnsi="Angsana New" w:cs="David"/>
            </w:rPr>
            <w:t xml:space="preserve"> </w:t>
          </w:r>
          <w:r w:rsidRPr="00110CDE">
            <w:rPr>
              <w:rFonts w:ascii="Times New Roman" w:hAnsi="Times New Roman" w:cs="Times New Roman"/>
            </w:rPr>
            <w:t>Http: // www.</w:t>
          </w:r>
          <w:r>
            <w:rPr>
              <w:rFonts w:ascii="Times New Roman" w:hAnsi="Times New Roman" w:cs="Times New Roman"/>
            </w:rPr>
            <w:t>energy.gov</w:t>
          </w:r>
          <w:r w:rsidRPr="00110CDE">
            <w:rPr>
              <w:rFonts w:ascii="Times New Roman" w:hAnsi="Times New Roman" w:cs="Times New Roman"/>
            </w:rPr>
            <w:t xml:space="preserve">.il </w:t>
          </w:r>
          <w:r w:rsidRPr="00110CDE">
            <w:rPr>
              <w:rFonts w:ascii="Times New Roman" w:hAnsi="Times New Roman" w:cs="Times New Roman"/>
            </w:rPr>
            <w:sym w:font="Wingdings" w:char="F03A"/>
          </w:r>
        </w:p>
      </w:tc>
      <w:tc>
        <w:tcPr>
          <w:tcW w:w="4115" w:type="dxa"/>
          <w:tcBorders>
            <w:top w:val="single" w:sz="4" w:space="0" w:color="auto"/>
          </w:tcBorders>
        </w:tcPr>
        <w:p w:rsidR="00831A47" w:rsidRPr="00110CDE" w:rsidRDefault="00831A47" w:rsidP="00831A47">
          <w:pPr>
            <w:pStyle w:val="a3"/>
            <w:bidi w:val="0"/>
            <w:spacing w:before="60" w:line="360" w:lineRule="auto"/>
            <w:jc w:val="center"/>
            <w:rPr>
              <w:rFonts w:ascii="Times New Roman" w:hAnsi="Times New Roman" w:cs="Times New Roman"/>
            </w:rPr>
          </w:pPr>
          <w:r w:rsidRPr="00110CDE">
            <w:rPr>
              <w:rFonts w:ascii="Times New Roman" w:hAnsi="Times New Roman" w:cs="Times New Roman"/>
            </w:rPr>
            <w:t xml:space="preserve">PO.Box </w:t>
          </w:r>
          <w:r w:rsidRPr="00110CDE">
            <w:rPr>
              <w:rFonts w:ascii="Times New Roman" w:hAnsi="Times New Roman" w:cs="Times New Roman"/>
              <w:rtl/>
            </w:rPr>
            <w:t>20</w:t>
          </w:r>
          <w:r w:rsidRPr="00110CDE">
            <w:rPr>
              <w:rFonts w:ascii="Times New Roman" w:hAnsi="Times New Roman" w:cs="Times New Roman"/>
            </w:rPr>
            <w:t>, Beit El ,90631</w:t>
          </w:r>
          <w:r>
            <w:rPr>
              <w:rFonts w:ascii="Times New Roman" w:hAnsi="Times New Roman" w:cs="Times New Roman"/>
            </w:rPr>
            <w:t>00</w:t>
          </w:r>
        </w:p>
        <w:p w:rsidR="00831A47" w:rsidRPr="00110CDE" w:rsidRDefault="00831A47" w:rsidP="00831A47">
          <w:pPr>
            <w:pStyle w:val="a3"/>
            <w:bidi w:val="0"/>
            <w:spacing w:before="60" w:line="360" w:lineRule="auto"/>
            <w:jc w:val="center"/>
            <w:rPr>
              <w:rFonts w:cs="David"/>
              <w:rtl/>
            </w:rPr>
          </w:pPr>
          <w:r w:rsidRPr="00110CDE">
            <w:rPr>
              <w:rFonts w:ascii="Times New Roman" w:hAnsi="Times New Roman" w:cs="Times New Roman"/>
            </w:rPr>
            <w:sym w:font="Webdings" w:char="F0CA"/>
          </w:r>
          <w:r w:rsidRPr="00110CDE">
            <w:rPr>
              <w:rFonts w:ascii="Times New Roman" w:hAnsi="Times New Roman" w:cs="Times New Roman"/>
            </w:rPr>
            <w:t xml:space="preserve"> 972-2-9977378</w:t>
          </w:r>
          <w:r w:rsidRPr="00110CDE">
            <w:rPr>
              <w:rFonts w:ascii="Times New Roman" w:hAnsi="Times New Roman" w:cs="Times New Roman"/>
            </w:rPr>
            <w:sym w:font="Webdings" w:char="F0CA"/>
          </w:r>
        </w:p>
      </w:tc>
    </w:tr>
  </w:tbl>
  <w:p w:rsidR="00831A47" w:rsidRDefault="00831A47" w:rsidP="00831A47">
    <w:pPr>
      <w:pStyle w:val="a3"/>
      <w:jc w:val="center"/>
      <w:rPr>
        <w:rtl/>
      </w:rPr>
    </w:pPr>
    <w:r>
      <w:rPr>
        <w:rFonts w:hint="cs"/>
        <w:rtl/>
      </w:rPr>
      <w:t>סיווג:</w:t>
    </w:r>
    <w:sdt>
      <w:sdtPr>
        <w:rPr>
          <w:rtl/>
        </w:rPr>
        <w:alias w:val="סיווג למסמך"/>
        <w:tag w:val="Menta_Doc_Classification"/>
        <w:id w:val="472486000"/>
        <w:dataBinding w:prefixMappings="xmlns:ns0='http://schemas.microsoft.com/office/2006/metadata/properties' xmlns:ns1='http://www.w3.org/2001/XMLSchema-instance' xmlns:ns2='http://schemas.microsoft.com/office/infopath/2007/PartnerControls' xmlns:ns3='c8a80b7b-42ad-484d-b937-cc1308b9b1d7' " w:xpath="/ns0:properties[1]/documentManagement[1]/ns3:Menta_Doc_Classification[1]" w:storeItemID="{94B54761-32EA-4963-A360-071371B8C6BA}"/>
        <w:text/>
      </w:sdtPr>
      <w:sdtEndPr/>
      <w:sdtContent>
        <w:r w:rsidR="007D5C29">
          <w:rPr>
            <w:rFonts w:hint="cs"/>
            <w:rtl/>
          </w:rPr>
          <w:t>בלמ"ס</w:t>
        </w:r>
      </w:sdtContent>
    </w:sdt>
    <w:r>
      <w:rPr>
        <w:rtl/>
      </w:rPr>
      <w:tab/>
    </w:r>
    <w:r>
      <w:rPr>
        <w:rtl/>
      </w:rPr>
      <w:tab/>
    </w:r>
    <w:r>
      <w:rPr>
        <w:rFonts w:hint="cs"/>
        <w:rtl/>
      </w:rPr>
      <w:t xml:space="preserve">סימוכין: </w:t>
    </w:r>
    <w:sdt>
      <w:sdtPr>
        <w:rPr>
          <w:rtl/>
        </w:rPr>
        <w:alias w:val="סימוכין"/>
        <w:tag w:val="Menta_Doc_DocumentID"/>
        <w:id w:val="2146618942"/>
        <w:dataBinding w:prefixMappings="xmlns:ns0='http://schemas.microsoft.com/office/2006/metadata/properties' xmlns:ns1='http://www.w3.org/2001/XMLSchema-instance' xmlns:ns2='http://schemas.microsoft.com/office/infopath/2007/PartnerControls' xmlns:ns3='c8a80b7b-42ad-484d-b937-cc1308b9b1d7' " w:xpath="/ns0:properties[1]/documentManagement[1]/ns3:Menta_Doc_DocumentID[1]" w:storeItemID="{94B54761-32EA-4963-A360-071371B8C6BA}"/>
        <w:text/>
      </w:sdtPr>
      <w:sdtEndPr/>
      <w:sdtContent>
        <w:r w:rsidR="007D5C29">
          <w:rPr>
            <w:rFonts w:hint="cs"/>
          </w:rPr>
          <w:t>EVEN493-01-2371</w:t>
        </w:r>
      </w:sdtContent>
    </w:sdt>
  </w:p>
  <w:p w:rsidR="00831A47" w:rsidRDefault="00831A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803" w:rsidRDefault="00234803" w:rsidP="00831A47">
      <w:pPr>
        <w:spacing w:after="0" w:line="240" w:lineRule="auto"/>
      </w:pPr>
      <w:r>
        <w:separator/>
      </w:r>
    </w:p>
  </w:footnote>
  <w:footnote w:type="continuationSeparator" w:id="0">
    <w:p w:rsidR="00234803" w:rsidRDefault="00234803" w:rsidP="0083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A47" w:rsidRPr="002E3AF6" w:rsidRDefault="00831A47" w:rsidP="00831A47">
    <w:pPr>
      <w:pStyle w:val="a6"/>
      <w:jc w:val="center"/>
      <w:rPr>
        <w:rFonts w:cs="David"/>
        <w:b/>
        <w:bCs/>
        <w:sz w:val="28"/>
        <w:szCs w:val="28"/>
        <w:rtl/>
      </w:rPr>
    </w:pPr>
    <w:r w:rsidRPr="002E3AF6">
      <w:rPr>
        <w:noProof/>
        <w:sz w:val="28"/>
        <w:szCs w:val="28"/>
        <w:rtl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-142846</wp:posOffset>
          </wp:positionV>
          <wp:extent cx="683515" cy="717616"/>
          <wp:effectExtent l="0" t="0" r="2540" b="6350"/>
          <wp:wrapNone/>
          <wp:docPr id="4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515" cy="7176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E3AF6">
      <w:rPr>
        <w:noProof/>
        <w:sz w:val="28"/>
        <w:szCs w:val="28"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-105381</wp:posOffset>
          </wp:positionV>
          <wp:extent cx="630583" cy="708141"/>
          <wp:effectExtent l="0" t="0" r="0" b="0"/>
          <wp:wrapNone/>
          <wp:docPr id="42" name="תמונה 42" descr="סמל מנהא''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סמל מנהא''ז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83" cy="7081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E3AF6">
      <w:rPr>
        <w:rFonts w:cs="David"/>
        <w:b/>
        <w:bCs/>
        <w:noProof/>
        <w:sz w:val="28"/>
        <w:szCs w:val="28"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7978775</wp:posOffset>
          </wp:positionH>
          <wp:positionV relativeFrom="paragraph">
            <wp:posOffset>-247650</wp:posOffset>
          </wp:positionV>
          <wp:extent cx="712470" cy="800100"/>
          <wp:effectExtent l="0" t="0" r="0" b="0"/>
          <wp:wrapNone/>
          <wp:docPr id="43" name="תמונה 1" descr="סמל מנהא''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סמל מנהא''ז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E3AF6">
      <w:rPr>
        <w:rFonts w:cs="David" w:hint="cs"/>
        <w:b/>
        <w:bCs/>
        <w:sz w:val="28"/>
        <w:szCs w:val="28"/>
        <w:rtl/>
      </w:rPr>
      <w:t>המנהל האזרחי לאזור יהודה והשומרון</w:t>
    </w:r>
  </w:p>
  <w:p w:rsidR="00831A47" w:rsidRPr="002E3AF6" w:rsidRDefault="00831A47" w:rsidP="00831A47">
    <w:pPr>
      <w:pStyle w:val="a6"/>
      <w:jc w:val="center"/>
      <w:rPr>
        <w:rFonts w:cs="David"/>
        <w:b/>
        <w:bCs/>
        <w:sz w:val="28"/>
        <w:szCs w:val="28"/>
        <w:rtl/>
      </w:rPr>
    </w:pPr>
    <w:r w:rsidRPr="002E3AF6">
      <w:rPr>
        <w:rFonts w:cs="David" w:hint="cs"/>
        <w:b/>
        <w:bCs/>
        <w:sz w:val="28"/>
        <w:szCs w:val="28"/>
        <w:rtl/>
      </w:rPr>
      <w:t>משרד קצין המטה לענייני אנרגיה</w:t>
    </w:r>
  </w:p>
  <w:p w:rsidR="00831A47" w:rsidRDefault="008B69EC" w:rsidP="00831A47">
    <w:pPr>
      <w:pStyle w:val="a6"/>
      <w:tabs>
        <w:tab w:val="clear" w:pos="4153"/>
        <w:tab w:val="clear" w:pos="8306"/>
        <w:tab w:val="left" w:pos="1121"/>
      </w:tabs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-1649095</wp:posOffset>
              </wp:positionH>
              <wp:positionV relativeFrom="paragraph">
                <wp:posOffset>332739</wp:posOffset>
              </wp:positionV>
              <wp:extent cx="8696960" cy="0"/>
              <wp:effectExtent l="0" t="19050" r="889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9696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8C0EE3" id="Line 4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9.85pt,26.2pt" to="554.9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" strokecolor="gray" strokeweight="2.5pt"/>
          </w:pict>
        </mc:Fallback>
      </mc:AlternateContent>
    </w:r>
    <w:r w:rsidR="00831A47">
      <w:rPr>
        <w:rtl/>
      </w:rPr>
      <w:tab/>
    </w:r>
  </w:p>
  <w:p w:rsidR="00831A47" w:rsidRPr="009D60CA" w:rsidRDefault="00831A47" w:rsidP="00831A47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EB89558"/>
    <w:lvl w:ilvl="0">
      <w:start w:val="1"/>
      <w:numFmt w:val="hebrew1"/>
      <w:pStyle w:val="1"/>
      <w:lvlText w:val="נספח %1:"/>
      <w:lvlJc w:val="right"/>
      <w:pPr>
        <w:tabs>
          <w:tab w:val="num" w:pos="0"/>
        </w:tabs>
        <w:ind w:left="454" w:hanging="454"/>
      </w:pPr>
      <w:rPr>
        <w:rFonts w:hAnsi="David" w:cs="David" w:hint="default"/>
        <w:b w:val="0"/>
        <w:i w:val="0"/>
        <w:sz w:val="32"/>
      </w:rPr>
    </w:lvl>
    <w:lvl w:ilvl="1">
      <w:start w:val="1"/>
      <w:numFmt w:val="decimal"/>
      <w:pStyle w:val="2"/>
      <w:lvlText w:val="%2."/>
      <w:lvlJc w:val="right"/>
      <w:pPr>
        <w:tabs>
          <w:tab w:val="num" w:pos="737"/>
        </w:tabs>
        <w:ind w:left="737" w:hanging="283"/>
      </w:pPr>
      <w:rPr>
        <w:rFonts w:cs="David" w:hint="default"/>
        <w:b/>
        <w:bCs/>
        <w:i w:val="0"/>
        <w:iCs w:val="0"/>
        <w:sz w:val="24"/>
        <w:szCs w:val="24"/>
      </w:rPr>
    </w:lvl>
    <w:lvl w:ilvl="2">
      <w:start w:val="1"/>
      <w:numFmt w:val="hebrew1"/>
      <w:pStyle w:val="3"/>
      <w:lvlText w:val="%3."/>
      <w:lvlJc w:val="right"/>
      <w:pPr>
        <w:tabs>
          <w:tab w:val="num" w:pos="1191"/>
        </w:tabs>
        <w:ind w:left="1191" w:hanging="284"/>
      </w:pPr>
      <w:rPr>
        <w:rFonts w:cs="David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pStyle w:val="4"/>
      <w:lvlText w:val="%4)"/>
      <w:lvlJc w:val="right"/>
      <w:pPr>
        <w:tabs>
          <w:tab w:val="num" w:pos="1701"/>
        </w:tabs>
        <w:ind w:left="1701" w:hanging="339"/>
      </w:pPr>
      <w:rPr>
        <w:rFonts w:cs="David" w:hint="default"/>
        <w:b/>
        <w:bCs/>
        <w:i w:val="0"/>
        <w:iCs w:val="0"/>
        <w:sz w:val="24"/>
        <w:szCs w:val="24"/>
      </w:rPr>
    </w:lvl>
    <w:lvl w:ilvl="4">
      <w:start w:val="1"/>
      <w:numFmt w:val="hebrew1"/>
      <w:pStyle w:val="5"/>
      <w:lvlText w:val="%5)"/>
      <w:lvlJc w:val="right"/>
      <w:pPr>
        <w:tabs>
          <w:tab w:val="num" w:pos="2211"/>
        </w:tabs>
        <w:ind w:left="2211" w:hanging="283"/>
      </w:pPr>
      <w:rPr>
        <w:rFonts w:cs="David" w:hint="default"/>
        <w:b/>
        <w:bCs/>
        <w:i w:val="0"/>
        <w:iCs w:val="0"/>
        <w:sz w:val="24"/>
        <w:szCs w:val="24"/>
      </w:rPr>
    </w:lvl>
    <w:lvl w:ilvl="5">
      <w:start w:val="1"/>
      <w:numFmt w:val="decimal"/>
      <w:pStyle w:val="6"/>
      <w:lvlText w:val="(%6)"/>
      <w:lvlJc w:val="right"/>
      <w:pPr>
        <w:tabs>
          <w:tab w:val="num" w:pos="2722"/>
        </w:tabs>
        <w:ind w:left="2722" w:hanging="341"/>
      </w:pPr>
      <w:rPr>
        <w:rFonts w:hAnsi="David" w:cs="David" w:hint="default"/>
        <w:b/>
        <w:i w:val="0"/>
        <w:sz w:val="24"/>
      </w:rPr>
    </w:lvl>
    <w:lvl w:ilvl="6">
      <w:start w:val="1"/>
      <w:numFmt w:val="hebrew2"/>
      <w:pStyle w:val="7"/>
      <w:lvlText w:val="(%7)"/>
      <w:lvlJc w:val="right"/>
      <w:pPr>
        <w:tabs>
          <w:tab w:val="num" w:pos="3232"/>
        </w:tabs>
        <w:ind w:left="3232" w:hanging="340"/>
      </w:pPr>
      <w:rPr>
        <w:rFonts w:hAnsi="David" w:cs="David" w:hint="default"/>
        <w:b/>
        <w:i w:val="0"/>
        <w:sz w:val="24"/>
      </w:rPr>
    </w:lvl>
    <w:lvl w:ilvl="7">
      <w:start w:val="1"/>
      <w:numFmt w:val="decimal"/>
      <w:pStyle w:val="8"/>
      <w:lvlText w:val="(%8)"/>
      <w:lvlJc w:val="center"/>
      <w:pPr>
        <w:tabs>
          <w:tab w:val="num" w:pos="0"/>
        </w:tabs>
        <w:ind w:left="3886" w:hanging="708"/>
      </w:pPr>
      <w:rPr>
        <w:rFonts w:hint="default"/>
      </w:rPr>
    </w:lvl>
    <w:lvl w:ilvl="8">
      <w:start w:val="1"/>
      <w:numFmt w:val="hebrew1"/>
      <w:pStyle w:val="9"/>
      <w:lvlText w:val="(%9)"/>
      <w:lvlJc w:val="center"/>
      <w:pPr>
        <w:tabs>
          <w:tab w:val="num" w:pos="0"/>
        </w:tabs>
        <w:ind w:left="4594" w:hanging="708"/>
      </w:pPr>
      <w:rPr>
        <w:rFonts w:hint="default"/>
      </w:rPr>
    </w:lvl>
  </w:abstractNum>
  <w:abstractNum w:abstractNumId="1" w15:restartNumberingAfterBreak="0">
    <w:nsid w:val="00E459DF"/>
    <w:multiLevelType w:val="hybridMultilevel"/>
    <w:tmpl w:val="7882B3D0"/>
    <w:lvl w:ilvl="0" w:tplc="BD3AE7F4">
      <w:start w:val="1"/>
      <w:numFmt w:val="hebrew1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73C40"/>
    <w:multiLevelType w:val="hybridMultilevel"/>
    <w:tmpl w:val="402A03D8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02416"/>
    <w:multiLevelType w:val="hybridMultilevel"/>
    <w:tmpl w:val="496E8116"/>
    <w:lvl w:ilvl="0" w:tplc="C060C1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41EA0"/>
    <w:multiLevelType w:val="hybridMultilevel"/>
    <w:tmpl w:val="F6387D6E"/>
    <w:lvl w:ilvl="0" w:tplc="EC76F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338C3"/>
    <w:multiLevelType w:val="hybridMultilevel"/>
    <w:tmpl w:val="63AAF2C4"/>
    <w:lvl w:ilvl="0" w:tplc="D7FEC8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F31F58"/>
    <w:multiLevelType w:val="hybridMultilevel"/>
    <w:tmpl w:val="F530E42A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F2250"/>
    <w:multiLevelType w:val="hybridMultilevel"/>
    <w:tmpl w:val="9192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B1"/>
    <w:rsid w:val="00026E3B"/>
    <w:rsid w:val="000706A6"/>
    <w:rsid w:val="0014375B"/>
    <w:rsid w:val="00196D9E"/>
    <w:rsid w:val="001E7A76"/>
    <w:rsid w:val="00234803"/>
    <w:rsid w:val="002A1D84"/>
    <w:rsid w:val="002D099C"/>
    <w:rsid w:val="002E3AF6"/>
    <w:rsid w:val="002F2636"/>
    <w:rsid w:val="002F69AD"/>
    <w:rsid w:val="00343FBF"/>
    <w:rsid w:val="00355244"/>
    <w:rsid w:val="003B6740"/>
    <w:rsid w:val="003F3D00"/>
    <w:rsid w:val="00482AB1"/>
    <w:rsid w:val="004A7882"/>
    <w:rsid w:val="00580685"/>
    <w:rsid w:val="0058644A"/>
    <w:rsid w:val="005C7A66"/>
    <w:rsid w:val="00614840"/>
    <w:rsid w:val="00626F3E"/>
    <w:rsid w:val="00690B78"/>
    <w:rsid w:val="006D01FE"/>
    <w:rsid w:val="00732EF2"/>
    <w:rsid w:val="00770619"/>
    <w:rsid w:val="007D5C29"/>
    <w:rsid w:val="007D7B92"/>
    <w:rsid w:val="00831A47"/>
    <w:rsid w:val="00897D34"/>
    <w:rsid w:val="008B69EC"/>
    <w:rsid w:val="008D232A"/>
    <w:rsid w:val="008F350C"/>
    <w:rsid w:val="00A20479"/>
    <w:rsid w:val="00A84615"/>
    <w:rsid w:val="00AB7099"/>
    <w:rsid w:val="00B47720"/>
    <w:rsid w:val="00B851F3"/>
    <w:rsid w:val="00BB1EF9"/>
    <w:rsid w:val="00BF57FC"/>
    <w:rsid w:val="00C14FC1"/>
    <w:rsid w:val="00C64139"/>
    <w:rsid w:val="00D235B0"/>
    <w:rsid w:val="00D64163"/>
    <w:rsid w:val="00DF6148"/>
    <w:rsid w:val="00EA691D"/>
    <w:rsid w:val="00EB430C"/>
    <w:rsid w:val="00F71084"/>
    <w:rsid w:val="00F728BB"/>
    <w:rsid w:val="00F9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AA401"/>
  <w15:docId w15:val="{289F133A-6476-4071-8B1D-5F3C6DE3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2"/>
    <w:link w:val="10"/>
    <w:qFormat/>
    <w:rsid w:val="007D5C29"/>
    <w:pPr>
      <w:keepNext/>
      <w:keepLines/>
      <w:widowControl w:val="0"/>
      <w:numPr>
        <w:numId w:val="4"/>
      </w:numPr>
      <w:spacing w:before="360" w:after="240" w:line="240" w:lineRule="auto"/>
      <w:jc w:val="center"/>
      <w:outlineLvl w:val="0"/>
    </w:pPr>
    <w:rPr>
      <w:rFonts w:ascii="Arial" w:eastAsia="Times New Roman" w:hAnsi="Arial" w:cs="David"/>
      <w:b/>
      <w:bCs/>
      <w:kern w:val="28"/>
      <w:sz w:val="26"/>
      <w:szCs w:val="32"/>
    </w:rPr>
  </w:style>
  <w:style w:type="paragraph" w:styleId="2">
    <w:name w:val="heading 2"/>
    <w:basedOn w:val="a"/>
    <w:next w:val="a"/>
    <w:link w:val="20"/>
    <w:qFormat/>
    <w:rsid w:val="007D5C29"/>
    <w:pPr>
      <w:keepLines/>
      <w:widowControl w:val="0"/>
      <w:numPr>
        <w:ilvl w:val="1"/>
        <w:numId w:val="4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David"/>
      <w:sz w:val="18"/>
      <w:szCs w:val="24"/>
    </w:rPr>
  </w:style>
  <w:style w:type="paragraph" w:styleId="3">
    <w:name w:val="heading 3"/>
    <w:basedOn w:val="2"/>
    <w:next w:val="a"/>
    <w:link w:val="30"/>
    <w:qFormat/>
    <w:rsid w:val="007D5C29"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0"/>
    <w:qFormat/>
    <w:rsid w:val="007D5C29"/>
    <w:pPr>
      <w:numPr>
        <w:ilvl w:val="3"/>
      </w:numPr>
      <w:outlineLvl w:val="3"/>
    </w:pPr>
  </w:style>
  <w:style w:type="paragraph" w:styleId="5">
    <w:name w:val="heading 5"/>
    <w:basedOn w:val="4"/>
    <w:next w:val="a"/>
    <w:link w:val="50"/>
    <w:qFormat/>
    <w:rsid w:val="007D5C29"/>
    <w:pPr>
      <w:numPr>
        <w:ilvl w:val="4"/>
      </w:numPr>
      <w:outlineLvl w:val="4"/>
    </w:pPr>
  </w:style>
  <w:style w:type="paragraph" w:styleId="6">
    <w:name w:val="heading 6"/>
    <w:basedOn w:val="5"/>
    <w:next w:val="a"/>
    <w:link w:val="60"/>
    <w:qFormat/>
    <w:rsid w:val="007D5C29"/>
    <w:pPr>
      <w:numPr>
        <w:ilvl w:val="5"/>
      </w:numPr>
      <w:outlineLvl w:val="5"/>
    </w:pPr>
  </w:style>
  <w:style w:type="paragraph" w:styleId="7">
    <w:name w:val="heading 7"/>
    <w:basedOn w:val="6"/>
    <w:next w:val="a"/>
    <w:link w:val="70"/>
    <w:qFormat/>
    <w:rsid w:val="007D5C29"/>
    <w:pPr>
      <w:numPr>
        <w:ilvl w:val="6"/>
      </w:numPr>
      <w:outlineLvl w:val="6"/>
    </w:pPr>
  </w:style>
  <w:style w:type="paragraph" w:styleId="8">
    <w:name w:val="heading 8"/>
    <w:basedOn w:val="a"/>
    <w:next w:val="a"/>
    <w:link w:val="80"/>
    <w:qFormat/>
    <w:rsid w:val="007D5C29"/>
    <w:pPr>
      <w:keepLines/>
      <w:widowControl w:val="0"/>
      <w:numPr>
        <w:ilvl w:val="7"/>
        <w:numId w:val="4"/>
      </w:numPr>
      <w:spacing w:before="120" w:after="60" w:line="240" w:lineRule="auto"/>
      <w:jc w:val="both"/>
      <w:outlineLvl w:val="7"/>
    </w:pPr>
    <w:rPr>
      <w:rFonts w:ascii="Arial" w:eastAsia="Times New Roman" w:hAnsi="Arial" w:cs="Miriam"/>
      <w:i/>
      <w:iCs/>
      <w:sz w:val="20"/>
      <w:szCs w:val="20"/>
    </w:rPr>
  </w:style>
  <w:style w:type="paragraph" w:styleId="9">
    <w:name w:val="heading 9"/>
    <w:basedOn w:val="1"/>
    <w:next w:val="a"/>
    <w:link w:val="90"/>
    <w:qFormat/>
    <w:rsid w:val="007D5C29"/>
    <w:pPr>
      <w:numPr>
        <w:ilvl w:val="8"/>
      </w:numPr>
      <w:spacing w:after="6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82A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תחתונה תו"/>
    <w:basedOn w:val="a0"/>
    <w:link w:val="a3"/>
    <w:uiPriority w:val="99"/>
    <w:rsid w:val="00482AB1"/>
  </w:style>
  <w:style w:type="character" w:styleId="a5">
    <w:name w:val="Placeholder Text"/>
    <w:basedOn w:val="a0"/>
    <w:uiPriority w:val="99"/>
    <w:semiHidden/>
    <w:rsid w:val="00482AB1"/>
    <w:rPr>
      <w:color w:val="808080"/>
    </w:rPr>
  </w:style>
  <w:style w:type="paragraph" w:styleId="a6">
    <w:name w:val="header"/>
    <w:basedOn w:val="a"/>
    <w:link w:val="a7"/>
    <w:uiPriority w:val="99"/>
    <w:unhideWhenUsed/>
    <w:rsid w:val="00482A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482AB1"/>
  </w:style>
  <w:style w:type="paragraph" w:styleId="a8">
    <w:name w:val="List Paragraph"/>
    <w:basedOn w:val="a"/>
    <w:uiPriority w:val="34"/>
    <w:qFormat/>
    <w:rsid w:val="00482AB1"/>
    <w:pPr>
      <w:ind w:left="720"/>
      <w:contextualSpacing/>
    </w:pPr>
  </w:style>
  <w:style w:type="table" w:styleId="a9">
    <w:name w:val="Table Grid"/>
    <w:basedOn w:val="a1"/>
    <w:uiPriority w:val="39"/>
    <w:rsid w:val="00482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rsid w:val="007D5C29"/>
    <w:rPr>
      <w:rFonts w:ascii="Arial" w:eastAsia="Times New Roman" w:hAnsi="Arial" w:cs="David"/>
      <w:b/>
      <w:bCs/>
      <w:kern w:val="28"/>
      <w:sz w:val="26"/>
      <w:szCs w:val="32"/>
    </w:rPr>
  </w:style>
  <w:style w:type="character" w:customStyle="1" w:styleId="20">
    <w:name w:val="כותרת 2 תו"/>
    <w:basedOn w:val="a0"/>
    <w:link w:val="2"/>
    <w:rsid w:val="007D5C29"/>
    <w:rPr>
      <w:rFonts w:ascii="Times New Roman" w:eastAsia="Times New Roman" w:hAnsi="Times New Roman" w:cs="David"/>
      <w:sz w:val="18"/>
      <w:szCs w:val="24"/>
    </w:rPr>
  </w:style>
  <w:style w:type="character" w:customStyle="1" w:styleId="30">
    <w:name w:val="כותרת 3 תו"/>
    <w:basedOn w:val="a0"/>
    <w:link w:val="3"/>
    <w:rsid w:val="007D5C29"/>
    <w:rPr>
      <w:rFonts w:ascii="Times New Roman" w:eastAsia="Times New Roman" w:hAnsi="Times New Roman" w:cs="David"/>
      <w:sz w:val="18"/>
      <w:szCs w:val="24"/>
    </w:rPr>
  </w:style>
  <w:style w:type="character" w:customStyle="1" w:styleId="40">
    <w:name w:val="כותרת 4 תו"/>
    <w:basedOn w:val="a0"/>
    <w:link w:val="4"/>
    <w:rsid w:val="007D5C29"/>
    <w:rPr>
      <w:rFonts w:ascii="Times New Roman" w:eastAsia="Times New Roman" w:hAnsi="Times New Roman" w:cs="David"/>
      <w:sz w:val="18"/>
      <w:szCs w:val="24"/>
    </w:rPr>
  </w:style>
  <w:style w:type="character" w:customStyle="1" w:styleId="50">
    <w:name w:val="כותרת 5 תו"/>
    <w:basedOn w:val="a0"/>
    <w:link w:val="5"/>
    <w:rsid w:val="007D5C29"/>
    <w:rPr>
      <w:rFonts w:ascii="Times New Roman" w:eastAsia="Times New Roman" w:hAnsi="Times New Roman" w:cs="David"/>
      <w:sz w:val="18"/>
      <w:szCs w:val="24"/>
    </w:rPr>
  </w:style>
  <w:style w:type="character" w:customStyle="1" w:styleId="60">
    <w:name w:val="כותרת 6 תו"/>
    <w:basedOn w:val="a0"/>
    <w:link w:val="6"/>
    <w:rsid w:val="007D5C29"/>
    <w:rPr>
      <w:rFonts w:ascii="Times New Roman" w:eastAsia="Times New Roman" w:hAnsi="Times New Roman" w:cs="David"/>
      <w:sz w:val="18"/>
      <w:szCs w:val="24"/>
    </w:rPr>
  </w:style>
  <w:style w:type="character" w:customStyle="1" w:styleId="70">
    <w:name w:val="כותרת 7 תו"/>
    <w:basedOn w:val="a0"/>
    <w:link w:val="7"/>
    <w:rsid w:val="007D5C29"/>
    <w:rPr>
      <w:rFonts w:ascii="Times New Roman" w:eastAsia="Times New Roman" w:hAnsi="Times New Roman" w:cs="David"/>
      <w:sz w:val="18"/>
      <w:szCs w:val="24"/>
    </w:rPr>
  </w:style>
  <w:style w:type="character" w:customStyle="1" w:styleId="80">
    <w:name w:val="כותרת 8 תו"/>
    <w:basedOn w:val="a0"/>
    <w:link w:val="8"/>
    <w:rsid w:val="007D5C29"/>
    <w:rPr>
      <w:rFonts w:ascii="Arial" w:eastAsia="Times New Roman" w:hAnsi="Arial" w:cs="Miriam"/>
      <w:i/>
      <w:iCs/>
      <w:sz w:val="20"/>
      <w:szCs w:val="20"/>
    </w:rPr>
  </w:style>
  <w:style w:type="character" w:customStyle="1" w:styleId="90">
    <w:name w:val="כותרת 9 תו"/>
    <w:basedOn w:val="a0"/>
    <w:link w:val="9"/>
    <w:rsid w:val="007D5C29"/>
    <w:rPr>
      <w:rFonts w:ascii="Arial" w:eastAsia="Times New Roman" w:hAnsi="Arial" w:cs="David"/>
      <w:b/>
      <w:bCs/>
      <w:i/>
      <w:iCs/>
      <w:kern w:val="28"/>
      <w:sz w:val="26"/>
      <w:szCs w:val="32"/>
    </w:rPr>
  </w:style>
  <w:style w:type="table" w:customStyle="1" w:styleId="TableGrid">
    <w:name w:val="TableGrid"/>
    <w:rsid w:val="007D5C2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E7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1E7A76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E7A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il/he/departments/news/press_omikro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D4D326F49A43CDAC6106040D4AB3B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305E7BD-B8B0-4F79-B5C4-F0FC71228E52}"/>
      </w:docPartPr>
      <w:docPartBody>
        <w:p w:rsidR="00D64FB7" w:rsidRDefault="00012131" w:rsidP="00012131">
          <w:pPr>
            <w:pStyle w:val="A4D4D326F49A43CDAC6106040D4AB3B2"/>
          </w:pPr>
          <w:r w:rsidRPr="008A5310">
            <w:rPr>
              <w:rStyle w:val="a3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12131"/>
    <w:rsid w:val="00012131"/>
    <w:rsid w:val="00250DA8"/>
    <w:rsid w:val="00480DDF"/>
    <w:rsid w:val="00C47B26"/>
    <w:rsid w:val="00D64FB7"/>
    <w:rsid w:val="00F05941"/>
    <w:rsid w:val="00F2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94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2131"/>
    <w:rPr>
      <w:color w:val="808080"/>
    </w:rPr>
  </w:style>
  <w:style w:type="paragraph" w:customStyle="1" w:styleId="A4D4D326F49A43CDAC6106040D4AB3B2">
    <w:name w:val="A4D4D326F49A43CDAC6106040D4AB3B2"/>
    <w:rsid w:val="00012131"/>
    <w:pPr>
      <w:bidi/>
    </w:pPr>
  </w:style>
  <w:style w:type="paragraph" w:customStyle="1" w:styleId="035E78FF406545008898DFEB4F432639">
    <w:name w:val="035E78FF406545008898DFEB4F432639"/>
    <w:rsid w:val="0001213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nta_Status xmlns="c8a80b7b-42ad-484d-b937-cc1308b9b1d7" xsi:nil="true"/>
    <Menta_PeopleTo xmlns="c8a80b7b-42ad-484d-b937-cc1308b9b1d7">
      <UserInfo>
        <DisplayName/>
        <AccountId xsi:nil="true"/>
        <AccountType/>
      </UserInfo>
    </Menta_PeopleTo>
    <Menta_Signature xmlns="c8a80b7b-42ad-484d-b937-cc1308b9b1d7">3</Menta_Signature>
    <Menta_Doc_DocumentID xmlns="c8a80b7b-42ad-484d-b937-cc1308b9b1d7">EVEN493-01-2371</Menta_Doc_DocumentID>
    <Menta_Doc_Signature xmlns="c8a80b7b-42ad-484d-b937-cc1308b9b1d7">אברהם               זארוג
יחידת   קמ"ט   אנרגיה</Menta_Doc_Signature>
    <Menta_Doc_PeopleTo xmlns="c8a80b7b-42ad-484d-b937-cc1308b9b1d7">---</Menta_Doc_PeopleTo>
    <Menta_Doc_Classification xmlns="c8a80b7b-42ad-484d-b937-cc1308b9b1d7">בלמ"ס</Menta_Doc_Classification>
    <Menta_Doc_Folder xmlns="c8a80b7b-42ad-484d-b937-cc1308b9b1d7">PV</Menta_Doc_Folder>
    <Menta_Doc_HebDate xmlns="c8a80b7b-42ad-484d-b937-cc1308b9b1d7">י"ז אדר ב תשפ"ב</Menta_Doc_HebDate>
    <Menta_PeopleCc xmlns="c8a80b7b-42ad-484d-b937-cc1308b9b1d7">
      <UserInfo>
        <DisplayName/>
        <AccountId xsi:nil="true"/>
        <AccountType/>
      </UserInfo>
    </Menta_PeopleCc>
    <Menta_Doc_PeopleCc xmlns="c8a80b7b-42ad-484d-b937-cc1308b9b1d7">---</Menta_Doc_PeopleCc>
    <Menta_Doc_Cube xmlns="c8a80b7b-42ad-484d-b937-cc1308b9b1d7">המנהל האזרחי איו"ש
יחידת קמ"ט חשמל
ת.ד 20 בית אל
טל': 02-9977097
פקס: 02-9977378</Menta_Doc_Cube>
    <Menta_Cube xmlns="c8a80b7b-42ad-484d-b937-cc1308b9b1d7">3</Menta_Cube>
    <Menta_Doc_EngDate xmlns="c8a80b7b-42ad-484d-b937-cc1308b9b1d7">20 מרץ 2022</Menta_Doc_EngDate>
    <Menta_Classification xmlns="c8a80b7b-42ad-484d-b937-cc1308b9b1d7">1</Menta_Classification>
    <Menta_Folder xmlns="c8a80b7b-42ad-484d-b937-cc1308b9b1d7">18</Menta_Folder>
    <_dlc_DocId xmlns="c8a80b7b-42ad-484d-b937-cc1308b9b1d7">EVEN493-277224534-2371</_dlc_DocId>
    <_dlc_DocIdUrl xmlns="c8a80b7b-42ad-484d-b937-cc1308b9b1d7">
      <Url>http://menta/sites/betl-Lishca773/_layouts/15/DocIdRedir.aspx?ID=EVEN493-277224534-2371</Url>
      <Description>EVEN493-277224534-2371</Description>
    </_dlc_DocIdUrl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 דואר יוצא" ma:contentTypeID="0x010100100A7922C2A71F41BDBE9FD3E63B65400300BDC1F81435ED68448A7E37852DE1189E" ma:contentTypeVersion="7" ma:contentTypeDescription="צור מסמך חדש." ma:contentTypeScope="" ma:versionID="fe163e74bc7820f59f2d0f39bd857fc3">
  <xsd:schema xmlns:xsd="http://www.w3.org/2001/XMLSchema" xmlns:xs="http://www.w3.org/2001/XMLSchema" xmlns:p="http://schemas.microsoft.com/office/2006/metadata/properties" xmlns:ns1="http://schemas.microsoft.com/sharepoint/v3" xmlns:ns2="c8a80b7b-42ad-484d-b937-cc1308b9b1d7" xmlns:ns3="http://schemas.microsoft.com/sharepoint/v4" targetNamespace="http://schemas.microsoft.com/office/2006/metadata/properties" ma:root="true" ma:fieldsID="c85e371738da7e34d9f88db63d3f1734" ns1:_="" ns2:_="" ns3:_="">
    <xsd:import namespace="http://schemas.microsoft.com/sharepoint/v3"/>
    <xsd:import namespace="c8a80b7b-42ad-484d-b937-cc1308b9b1d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nta_Doc_DocumentID" minOccurs="0"/>
                <xsd:element ref="ns2:Menta_Status" minOccurs="0"/>
                <xsd:element ref="ns2:Menta_PeopleTo" minOccurs="0"/>
                <xsd:element ref="ns2:Menta_Doc_PeopleTo" minOccurs="0"/>
                <xsd:element ref="ns2:Menta_PeopleCc" minOccurs="0"/>
                <xsd:element ref="ns2:Menta_Doc_PeopleCc" minOccurs="0"/>
                <xsd:element ref="ns2:Menta_Classification" minOccurs="0"/>
                <xsd:element ref="ns2:Menta_Doc_Classification" minOccurs="0"/>
                <xsd:element ref="ns2:Menta_Cube" minOccurs="0"/>
                <xsd:element ref="ns2:Menta_Doc_Cube" minOccurs="0"/>
                <xsd:element ref="ns2:Menta_Signature" minOccurs="0"/>
                <xsd:element ref="ns2:Menta_Doc_Signature" minOccurs="0"/>
                <xsd:element ref="ns2:Menta_Folder" minOccurs="0"/>
                <xsd:element ref="ns2:Menta_Doc_Folder" minOccurs="0"/>
                <xsd:element ref="ns2:Menta_Doc_EngDate" minOccurs="0"/>
                <xsd:element ref="ns2:Menta_Doc_HebDate" minOccurs="0"/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8" nillable="true" ma:displayName="רשומה שהוצהרה" ma:hidden="true" ma:internalName="_vti_ItemDeclaredRecord" ma:readOnly="true">
      <xsd:simpleType>
        <xsd:restriction base="dms:DateTime"/>
      </xsd:simpleType>
    </xsd:element>
    <xsd:element name="_vti_ItemHoldRecordStatus" ma:index="29" nillable="true" ma:displayName="מצב חסימות ורשומות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80b7b-42ad-484d-b937-cc1308b9b1d7" elementFormDefault="qualified">
    <xsd:import namespace="http://schemas.microsoft.com/office/2006/documentManagement/types"/>
    <xsd:import namespace="http://schemas.microsoft.com/office/infopath/2007/PartnerControls"/>
    <xsd:element name="Menta_Doc_DocumentID" ma:index="8" nillable="true" ma:displayName="סימוכין" ma:internalName="Menta_Doc_DocumentID" ma:readOnly="false">
      <xsd:simpleType>
        <xsd:restriction base="dms:Text"/>
      </xsd:simpleType>
    </xsd:element>
    <xsd:element name="Menta_Status" ma:index="9" nillable="true" ma:displayName="סטאטוס" ma:internalName="Menta_Status" ma:readOnly="false">
      <xsd:simpleType>
        <xsd:restriction base="dms:Note"/>
      </xsd:simpleType>
    </xsd:element>
    <xsd:element name="Menta_PeopleTo" ma:index="10" nillable="true" ma:displayName="לפעולה" ma:list="UserInfo" ma:internalName="Menta_PeopleTo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nta_Doc_PeopleTo" ma:index="11" nillable="true" ma:displayName="אנשים לפעולה למסמך" ma:internalName="Menta_Doc_PeopleTo" ma:readOnly="false">
      <xsd:simpleType>
        <xsd:restriction base="dms:Note"/>
      </xsd:simpleType>
    </xsd:element>
    <xsd:element name="Menta_PeopleCc" ma:index="12" nillable="true" ma:displayName="לידיעה" ma:list="UserInfo" ma:internalName="Menta_PeopleCc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nta_Doc_PeopleCc" ma:index="13" nillable="true" ma:displayName="אנשים לידיעה למסמך" ma:internalName="Menta_Doc_PeopleCc" ma:readOnly="false">
      <xsd:simpleType>
        <xsd:restriction base="dms:Note"/>
      </xsd:simpleType>
    </xsd:element>
    <xsd:element name="Menta_Classification" ma:index="14" nillable="true" ma:displayName="סיווג" ma:list="{6c33a234-8325-475e-b45a-3b57c861e6fb}" ma:internalName="Menta_Classification" ma:readOnly="false" ma:showField="Title" ma:web="f960e6a3-c037-444d-a179-ead77587ffc0">
      <xsd:simpleType>
        <xsd:restriction base="dms:Lookup"/>
      </xsd:simpleType>
    </xsd:element>
    <xsd:element name="Menta_Doc_Classification" ma:index="15" nillable="true" ma:displayName="סיווג למסמך" ma:internalName="Menta_Doc_Classification" ma:readOnly="false">
      <xsd:simpleType>
        <xsd:restriction base="dms:Text"/>
      </xsd:simpleType>
    </xsd:element>
    <xsd:element name="Menta_Cube" ma:index="16" nillable="true" ma:displayName="קוביה" ma:list="{0b87461b-b8c3-4559-820d-6a2b938627b5}" ma:internalName="Menta_Cube" ma:readOnly="false" ma:showField="Title" ma:web="f960e6a3-c037-444d-a179-ead77587ffc0">
      <xsd:simpleType>
        <xsd:restriction base="dms:Lookup"/>
      </xsd:simpleType>
    </xsd:element>
    <xsd:element name="Menta_Doc_Cube" ma:index="17" nillable="true" ma:displayName="קוביה למסמך" ma:internalName="Menta_Doc_Cube" ma:readOnly="false">
      <xsd:simpleType>
        <xsd:restriction base="dms:Note">
          <xsd:maxLength value="255"/>
        </xsd:restriction>
      </xsd:simpleType>
    </xsd:element>
    <xsd:element name="Menta_Signature" ma:index="18" nillable="true" ma:displayName="חתימה" ma:list="{6c1faa02-d7ce-4121-b57c-29ca0d44f713}" ma:internalName="Menta_Signature" ma:readOnly="false" ma:showField="Title" ma:web="f960e6a3-c037-444d-a179-ead77587ffc0">
      <xsd:simpleType>
        <xsd:restriction base="dms:Lookup"/>
      </xsd:simpleType>
    </xsd:element>
    <xsd:element name="Menta_Doc_Signature" ma:index="19" nillable="true" ma:displayName="חתימה למסמך" ma:internalName="Menta_Doc_Signature" ma:readOnly="false">
      <xsd:simpleType>
        <xsd:restriction base="dms:Note">
          <xsd:maxLength value="255"/>
        </xsd:restriction>
      </xsd:simpleType>
    </xsd:element>
    <xsd:element name="Menta_Folder" ma:index="20" nillable="true" ma:displayName="תיק" ma:list="{f84b859a-f584-4374-b023-3cea750ea43e}" ma:internalName="Menta_Folder" ma:readOnly="false" ma:showField="Title" ma:web="f960e6a3-c037-444d-a179-ead77587ffc0">
      <xsd:simpleType>
        <xsd:restriction base="dms:Lookup"/>
      </xsd:simpleType>
    </xsd:element>
    <xsd:element name="Menta_Doc_Folder" ma:index="21" nillable="true" ma:displayName="תיק למסמך" ma:internalName="Menta_Doc_Folder" ma:readOnly="false">
      <xsd:simpleType>
        <xsd:restriction base="dms:Text"/>
      </xsd:simpleType>
    </xsd:element>
    <xsd:element name="Menta_Doc_EngDate" ma:index="22" nillable="true" ma:displayName="תאריך יצירה לועזי" ma:internalName="Menta_Doc_EngDate" ma:readOnly="false">
      <xsd:simpleType>
        <xsd:restriction base="dms:Text"/>
      </xsd:simpleType>
    </xsd:element>
    <xsd:element name="Menta_Doc_HebDate" ma:index="23" nillable="true" ma:displayName="תאריך יצירה עברי" ma:internalName="Menta_Doc_HebDate" ma:readOnly="false">
      <xsd:simpleType>
        <xsd:restriction base="dms:Text"/>
      </xsd:simpleType>
    </xsd:element>
    <xsd:element name="_dlc_DocId" ma:index="24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25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מזהה תמידי" ma:description="השאר מזהה בעת הוספה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B54761-32EA-4963-A360-071371B8C6BA}">
  <ds:schemaRefs>
    <ds:schemaRef ds:uri="http://schemas.microsoft.com/office/2006/metadata/properties"/>
    <ds:schemaRef ds:uri="http://schemas.microsoft.com/office/infopath/2007/PartnerControls"/>
    <ds:schemaRef ds:uri="c8a80b7b-42ad-484d-b937-cc1308b9b1d7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8C20085D-D89D-42A3-9E0C-9EB95C6CD1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0D89A-DB75-49E6-AC05-76329113628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1A1E8B7-4169-46F2-A9C8-289A69022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a80b7b-42ad-484d-b937-cc1308b9b1d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הודעה לציבור עדכון בדבר הארכת מועדי הקמה של מתקני ייצור חשמל באמצעות אנרגיה מתחדשת באיו"ש, בשל גל האומריקון</vt:lpstr>
    </vt:vector>
  </TitlesOfParts>
  <Company>Microsoft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לציבור עדכון בדבר הארכת מועדי הקמה של מתקני ייצור חשמל באמצעות אנרגיה מתחדשת באיו"ש, בשל גל האומיקרון</dc:title>
  <dc:creator>b024941858@Tapash2k.Even</dc:creator>
  <cp:lastModifiedBy>Noam Eilon</cp:lastModifiedBy>
  <cp:revision>2</cp:revision>
  <dcterms:created xsi:type="dcterms:W3CDTF">2022-03-23T11:47:00Z</dcterms:created>
  <dcterms:modified xsi:type="dcterms:W3CDTF">2022-03-23T11:47:00Z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0x010100100A7922C2A71F41BDBE9FD3E63B65400300BDC1F81435ED68448A7E37852DE1189E</vt:lpwstr>
  </property>
  <property fmtid="{D5CDD505-2E9C-101B-9397-08002B2CF9AE}" pid="3" name="_dlc_DocIdItemGuid">
    <vt:lpwstr>7a271108-1d87-4c03-89c7-e639fb4f4a56</vt:lpwstr>
  </property>
  <property fmtid="{D5CDD505-2E9C-101B-9397-08002B2CF9AE}" pid="4" name="_Created">
    <vt:filetime>2022-03-20T13:21:39Z</vt:filetime>
  </property>
</Properties>
</file>